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Setembro de 2026</w:t>
      </w:r>
    </w:p>
    <w:p>
      <w:r>
        <w:t>Filtros aplicados: Agência Nacional de Proteção de Dados, Banco Central do Brasil, Conselho Nacional de Previdência Complementar, Superintendência Nacional de Previdência Complementar, Superintendência de Seguros Privados</w:t>
      </w:r>
      <w:r>
        <w:t xml:space="preserve">  ·  20 atos no mês</w:t>
      </w:r>
    </w:p>
    <w:p>
      <w:r>
        <w:br w:type="page"/>
      </w:r>
    </w:p>
    <w:p>
      <w:pPr>
        <w:pStyle w:val="Heading1"/>
      </w:pPr>
      <w:r>
        <w:t>2026-09-01</w:t>
      </w:r>
    </w:p>
    <w:p>
      <w:pPr>
        <w:pStyle w:val="Heading2"/>
      </w:pPr>
      <w:r>
        <w:t>PORTARIA CGCCR/SUSEP nº 31, de 28 de agosto de 2026</w:t>
      </w:r>
    </w:p>
    <w:p>
      <w:r>
        <w:t>Categoria: Ministério da Fazenda/Superintendência de Seguros Privados/Diretoria de Organização de Mercado e Regulação de Conduta/Coordenação-Geral de Credenciamentos, Cadastros e Regimes Especiais</w:t>
      </w:r>
    </w:p>
    <w:p>
      <w:r>
        <w:t>Página: 53</w:t>
      </w:r>
    </w:p>
    <w:p/>
    <w:p>
      <w:r>
        <w:t>PORTARIA CGCCR/SUSEP nº 31, de 28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no §2º do art. 26 e no §7º do art. 28, todos da Resolução CNSP nº 422, de 11 de novembro de 2021, e o que consta do processo Susep nº 15414.635014/2026-00, resolve:</w:t>
      </w:r>
    </w:p>
    <w:p>
      <w:r>
        <w:t>Art.1ºFica homologada a atualização cadastral anual de 2026 de Allianz SE, sociedade constituída e existente segundo as leis da Alemanha, cadastrada como ressegurador eventual, conforme Portaria Susep/Dirat nº 38, de 15 de agosto de 2014.</w:t>
      </w:r>
    </w:p>
    <w:p>
      <w:r>
        <w:t>Art.2º Fica ratificado que o Sr. Maurício Pinheiro Masferrer dos Santos exerce a função de procurador do Ressegurador.</w:t>
      </w:r>
    </w:p>
    <w:p>
      <w:r>
        <w:t>Art.3º Esta Portaria entra em vigor na data de sua publicação.</w:t>
      </w:r>
    </w:p>
    <w:p>
      <w:r>
        <w:t>JONAS DOS SANTOS SOUSA</w:t>
      </w:r>
    </w:p>
    <w:p>
      <w:pPr>
        <w:pStyle w:val="Heading2"/>
      </w:pPr>
      <w:r>
        <w:t>PORTARIA CGAUT/SUSEP nº 160, de 31 de agosto de 2026</w:t>
      </w:r>
    </w:p>
    <w:p>
      <w:r>
        <w:t>Categoria: Ministério da Fazenda/Superintendência de Seguros Privados/Diretoria de Organização de Mercado e Regulação de Conduta/Coordenação-Geral de Autorizações</w:t>
      </w:r>
    </w:p>
    <w:p>
      <w:r>
        <w:t>Página: 53</w:t>
      </w:r>
    </w:p>
    <w:p/>
    <w:p>
      <w:r>
        <w:t>PORTARIA CGAUT/SUSEP nº 160, de 31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15414.627794/2026-14, resolve:</w:t>
      </w:r>
    </w:p>
    <w:p>
      <w:r>
        <w:t>Art.1º Fica homologada a eleição de administradores de BRASILSEG COMPANHIA DE SEGUROS, CNPJ nº 28.196.889/0001-43, com sede na cidade de São Paulo - SP, conforme deliberado na assembleia geral extraordinária de 24 de abril de 2026.</w:t>
      </w:r>
    </w:p>
    <w:p>
      <w:r>
        <w:t>Art.2º Esta Portaria entra em vigor na data de sua publicação.</w:t>
      </w:r>
    </w:p>
    <w:p>
      <w:r>
        <w:t>MAUREL ALEXIS WEICHERT</w:t>
      </w:r>
    </w:p>
    <w:p>
      <w:pPr>
        <w:pStyle w:val="Heading2"/>
      </w:pPr>
      <w:r>
        <w:t>PORTARIA CGAUT/SUSEP nº 161, de 31 de agosto de 2026</w:t>
      </w:r>
    </w:p>
    <w:p>
      <w:r>
        <w:t>Categoria: Ministério da Fazenda/Superintendência de Seguros Privados/Diretoria de Organização de Mercado e Regulação de Conduta/Coordenação-Geral de Autorizações</w:t>
      </w:r>
    </w:p>
    <w:p>
      <w:r>
        <w:t>Página: 53</w:t>
      </w:r>
    </w:p>
    <w:p/>
    <w:p>
      <w:r>
        <w:t>PORTARIA CGAUT/SUSEP nº 161, de 31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15414.630277/2026-14, resolve:</w:t>
      </w:r>
    </w:p>
    <w:p>
      <w:r>
        <w:t>Art.1º Fica homologada a eleição de administrador de BRADESCO SEGUROS S.A., CNPJ nº 33.055.146/0001-93, com sede na cidade de São Paulo - SP, conforme deliberado na assembleia geral extraordinária realizada em 15 de maio de 2026.</w:t>
      </w:r>
    </w:p>
    <w:p>
      <w:r>
        <w:t>Art.2º Esta Portaria entra em vigor na data de sua publicação.</w:t>
      </w:r>
    </w:p>
    <w:p>
      <w:r>
        <w:t>MAUREL ALEXIS WEICHERT</w:t>
      </w:r>
    </w:p>
    <w:p>
      <w:pPr>
        <w:pStyle w:val="Heading2"/>
      </w:pPr>
      <w:r>
        <w:t>PORTARIA CGAUT/SUSEP nº 162, de 31 de agosto de 2026</w:t>
      </w:r>
    </w:p>
    <w:p>
      <w:r>
        <w:t>Categoria: Ministério da Fazenda/Superintendência de Seguros Privados/Diretoria de Organização de Mercado e Regulação de Conduta/Coordenação-Geral de Autorizações</w:t>
      </w:r>
    </w:p>
    <w:p>
      <w:r>
        <w:t>Página: 53</w:t>
      </w:r>
    </w:p>
    <w:p/>
    <w:p>
      <w:r>
        <w:t>PORTARIA CGAUT/SUSEP nº 162, de 31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15414.627781/2026-37, resolve:</w:t>
      </w:r>
    </w:p>
    <w:p>
      <w:r>
        <w:t>Art.1º Fica homologada a eleição de administradores de ALIANÇA DO BRASIL SEGUROS S.A., CNPJ nº 01.378.407/0001-10, com sede na cidade de São Paulo - SP, conforme deliberado na assembleia geral extraordinária de 24 de abril de 2026.</w:t>
      </w:r>
    </w:p>
    <w:p>
      <w:r>
        <w:t>Art.2º Esta Portaria entra em vigor na data de sua publicação.</w:t>
      </w:r>
    </w:p>
    <w:p>
      <w:r>
        <w:t>MAUREL ALEXIS WEICHERT</w:t>
      </w:r>
    </w:p>
    <w:p>
      <w:pPr>
        <w:pStyle w:val="Heading2"/>
      </w:pPr>
      <w:r>
        <w:t>Portaria Previc Nº 671, DE 27 DE agosto DE 2026</w:t>
      </w:r>
    </w:p>
    <w:p>
      <w:r>
        <w:t>Categoria: Ministério da Previdência Social/Superintendência Nacional de Previdência Complementar/Diretoria de Licenciamento</w:t>
      </w:r>
    </w:p>
    <w:p>
      <w:r>
        <w:t>Página: 70</w:t>
      </w:r>
    </w:p>
    <w:p/>
    <w:p>
      <w:r>
        <w:t>Portaria Previc Nº 671, DE 27 DE agosto DE 2026</w:t>
      </w:r>
    </w:p>
    <w:p>
      <w:r>
        <w:t>O DIRETOR DE LICENCIAMENTO, no uso das atribuições que lhe confere as alíneas "b", "c", "d" e "l" do inciso I do art. 66 da Portaria Previc nº 861, de 9 de outubro de 2024 (Regimento Interno da Superintendência Nacional de Previdência Complementar - Previc), e considerando as manifestações técnicas exaradas no Processo nº 44011.012239/2025-35, resolve:</w:t>
      </w:r>
    </w:p>
    <w:p>
      <w:r>
        <w:t>Art. 1º Autorizar a cisão do Plano Baxter CD, CNPB nº 2010.0016-56, CNPJ nº 48.307.469/0001-02, administrado pelo Multiprev - Fundo Múltiplo de Pensão, CNPJ nº 67.846.188/0001-64.</w:t>
      </w:r>
    </w:p>
    <w:p>
      <w:r>
        <w:t>Art. 2º Autorizar a aplicação do regulamento do Plano Vantive CD, a ser administrado pelo Multiprev - Fundo Múltiplo de Pensão.</w:t>
      </w:r>
    </w:p>
    <w:p>
      <w:r>
        <w:t>Art. 3º Inscrever, no Cadastro Nacional de Planos de Benefícios (CNPB), o Plano Vantive CD, sob o nº 2026.0005-91.</w:t>
      </w:r>
    </w:p>
    <w:p>
      <w:r>
        <w:t>Art. 4º Autorizar o convênio de adesão celebrado entre a Vantive Health Brasil Ltda., CNPJ nº 55.790.072/0001-71, na condição de patrocinadora do Plano Vantive CD, CNPB nº 2026.0005-91, e o Multiprev - Fundo Múltiplo de Pensão, na condição de entidade fechada de previdência complementar responsável pela administração do referido plano.</w:t>
      </w:r>
    </w:p>
    <w:p>
      <w:r>
        <w:t>Art. 5º Esta Portaria entra em vigor na data de sua publicação.</w:t>
      </w:r>
    </w:p>
    <w:p>
      <w:r>
        <w:t>Guilherme Capriata Vaccaro Campelo Bezerra</w:t>
      </w:r>
    </w:p>
    <w:p>
      <w:pPr>
        <w:pStyle w:val="Heading2"/>
      </w:pPr>
      <w:r>
        <w:t>PORTARIA PREVIC Nº 664, DE 26 DE AGOSTO DE 2026</w:t>
      </w:r>
    </w:p>
    <w:p>
      <w:pPr>
        <w:pStyle w:val="ListBullet"/>
      </w:pPr>
      <w:r>
        <w:t>Ementa: Institui o Índice de Transparência e Governança - ITG-PREVIC, aprova sua composição, metodologia de apuração, periodicidade e autoriza sua primeira divulgação.</w:t>
      </w:r>
    </w:p>
    <w:p>
      <w:r>
        <w:t>Categoria: Ministério da Previdência Social/Superintendência Nacional de Previdência Complementar/Gabinete</w:t>
      </w:r>
    </w:p>
    <w:p>
      <w:r>
        <w:t>Página: 69</w:t>
      </w:r>
    </w:p>
    <w:p/>
    <w:p>
      <w:r>
        <w:t>PORTARIA PREVIC Nº 664, DE 26 DE AGOSTO DE 2026</w:t>
      </w:r>
    </w:p>
    <w:p>
      <w:r>
        <w:t>Institui o Índice de Transparência e Governança - ITG-PREVIC, aprova sua composição, metodologia de apuração, periodicidade e autoriza sua primeira divulgação.</w:t>
      </w:r>
    </w:p>
    <w:p>
      <w:r>
        <w:t>O DIRETOR-SUPERINTENDENTE DA SUPERINTENDÊNCIA NACIONAL DE PREVIDÊNCIA COMPLEMENTAR, no uso das atribuições que lhe foram conferidas pelo inciso II do art. 20 do Anexo I do Decreto n° 11.241, de 2022, pelo inciso II do art. 6° do Anexo I da Portaria Previc n° 861, de 2024, pelo inciso VI do art. 229 da Resolução Previc nº 23, de 2023, considerando a ciência da Diretoria Colegiada nos termos do Despacho Decisório nº 153/2026/CGDC/DICOL, de 25 de agosto de 2026, e o disposto no Processo SEI n° 44011.005704/2026-62, resolve:</w:t>
      </w:r>
    </w:p>
    <w:p>
      <w:r>
        <w:t>Art. 1º Fica instituído o Índice de Transparência e Governança - ITG-PREVIC como instrumento de avaliação e acompanhamento anual das práticas de governança, de gestão, controles internos e monitoramento dos riscos nas operações realizadas pelas entidades fechadas de previdência complementar - EFPC.</w:t>
      </w:r>
    </w:p>
    <w:p>
      <w:r>
        <w:t>Art. 2º O ITG-PREVIC é composto por três subíndices e seus respectivos elementos:</w:t>
      </w:r>
    </w:p>
    <w:p>
      <w:r>
        <w:t>I - transparência: contempla dois elementos relacionados à disponibilidade, clareza, tempestividade, acessibilidade e compreensão das informações prestadas pelas EFPC aos participantes, assistidos, patrocinadores, instituidores e ao público interessado:</w:t>
      </w:r>
    </w:p>
    <w:p>
      <w:r>
        <w:t>a) divulgação de informações e transparência ativa; e</w:t>
      </w:r>
    </w:p>
    <w:p>
      <w:r>
        <w:t>b) orientação e comunicação aos participantes e assistidos.</w:t>
      </w:r>
    </w:p>
    <w:p>
      <w:r>
        <w:t>II - governança: contempla quatro elementos relacionados à estrutura e ao funcionamento dos órgãos de governança, aos mecanismos de controle e aos processos de gestão e decisão das EFPC:</w:t>
      </w:r>
    </w:p>
    <w:p>
      <w:r>
        <w:t>a) estrutura de governança: abrange a composição, as competências, o funcionamento e a articulação entre os órgãos estatutários e de assessoramento da EFPC;</w:t>
      </w:r>
    </w:p>
    <w:p>
      <w:r>
        <w:t>b) cultura ética e pessoas: abrange integridade, prevenção de conflitos de interesses, seleção, nomeação, avaliação, remuneração, qualificação, certificação e desenvolvimento das pessoas envolvidas na governança e na gestão da EFPC;</w:t>
      </w:r>
    </w:p>
    <w:p>
      <w:r>
        <w:t>c) controle: abrange os mecanismos de auditoria, monitoramento e verificação da conformidade dos processos e das atividades da EFPC; e</w:t>
      </w:r>
    </w:p>
    <w:p>
      <w:r>
        <w:t>d) gestão e processo decisório: abrange a gestão de riscos, a contratação e o acompanhamento de prestadores de serviços, a continuidade dos negócios, a responsabilidade fiduciária e os processos relevantes para a tomada de decisão institucional.</w:t>
      </w:r>
    </w:p>
    <w:p>
      <w:r>
        <w:t>III - resultados: contempla três elementos relacionados à eficiência, custos administrativos e desempenho dos investimentos das EFPC:</w:t>
      </w:r>
    </w:p>
    <w:p>
      <w:r>
        <w:t>a) eficiência operacional;</w:t>
      </w:r>
    </w:p>
    <w:p>
      <w:r>
        <w:t>b) taxa de administração; e</w:t>
      </w:r>
    </w:p>
    <w:p>
      <w:r>
        <w:t>c) performance (absoluta e relativa) dos investimentos.</w:t>
      </w:r>
    </w:p>
    <w:p>
      <w:r>
        <w:t>Art. 3º A metodologia do índice ITG-PREVIC terá pontuação variando entre 0,00 (mínimo) e 1,00 (máximo), assim distribuídos pelos subíndices:</w:t>
      </w:r>
    </w:p>
    <w:p>
      <w:r>
        <w:t>I - transparência: entre 0,00 (mínimo) e 0,40 (máximo);</w:t>
      </w:r>
    </w:p>
    <w:p>
      <w:r>
        <w:t>II - governança: entre 0,00 (mínimo) e 0,45 (máximo); e</w:t>
      </w:r>
    </w:p>
    <w:p>
      <w:r>
        <w:t>III - resultados: entre 0,00 (mínimo) e 0,15 (máximo).</w:t>
      </w:r>
    </w:p>
    <w:p>
      <w:r>
        <w:t>Parágrafo único. Cada subíndice será apurado a partir da avaliação dos elementos que os compõem, observado o peso relativo que lhes forem atribuídos, perfazendo então o total do subíndice, devendo na sequência, a soma dos pesos dos subíndices, estabelecidos nos incisos do art. 3º, corresponder até a pontuação máxima de 1,00 relativa à consolidação final do ITG-PREVIC por EFPC.</w:t>
      </w:r>
    </w:p>
    <w:p>
      <w:r>
        <w:t>Art. 4º O ITG-PREVIC será calculado somente para as EFPC enquadradas nos segmentos de fiscalização de que trata o art. 3º da Resolução Previc nº 23, de 2023, excluídas também as entidades em regimes especiais, em descontinuidade das operações, em cancelamento, em retirada de patrocínio ou com indisponibilidade dos dados contábeis.</w:t>
      </w:r>
    </w:p>
    <w:p>
      <w:r>
        <w:t>Art. 5º A apuração dos elementos que compõem cada subíndice será feita através dos dados já coletados pela Previc em função de sua atividade de supervisão e monitoramento e, quando necessário, de informações prestadas diretamente pelas EFPC por meio da aplicação de questionário específico.</w:t>
      </w:r>
    </w:p>
    <w:p>
      <w:r>
        <w:t>§ 1º As informações submetidas pelas EFPC à Previc por meio do questionário que dispõe o caput, serão, sempre que possível, acompanhadas de documentos comprobatórios que permitam a sua validação por parte da Autarquia.</w:t>
      </w:r>
    </w:p>
    <w:p>
      <w:r>
        <w:t>§ 2º Na aplicação do questionário específico a que se refere o caput, a Previc poderá verificar os atributos positivos da governança praticada pelas EFPC listados nos incisos do parágrafo 2º do art. 228 da Resolução Previc nº 23, de 2023, e nos guias de melhores práticas publicados pela Autarquia.</w:t>
      </w:r>
    </w:p>
    <w:p>
      <w:r>
        <w:t>Art. 6º O ITG-PREVIC não estará sujeito a recálculo em decorrência de envio de informações ou retificações de dados após a data-base de apuração.</w:t>
      </w:r>
    </w:p>
    <w:p>
      <w:r>
        <w:t>Art. 7º O ITG-PREVIC terá periodicidade anual e será divulgado, por segmento de fiscalização e em ordem alfabética das EFPC, no mês de novembro de cada ano, em endereço eletrônico da Autarquia a fim de permitir a verificação dos resultados e da evolução de cada EFPC ao longo dos ciclos de avaliação.</w:t>
      </w:r>
    </w:p>
    <w:p>
      <w:r>
        <w:t>Parágrafo único. Fica autorizada a primeira divulgação do ITG-PREVIC para o mês de novembro de 2026.</w:t>
      </w:r>
    </w:p>
    <w:p>
      <w:r>
        <w:t>Art. 8º Fica a Coordenação-Geral de Inteligência e Gestão de Riscos - CGIR, vinculada à Diretoria Colegiada - DICOL, responsável pelo acervo, repositório, apuração, divulgação, desenvolvimento e aprimoramento do ITG-PREVIC.</w:t>
      </w:r>
    </w:p>
    <w:p>
      <w:r>
        <w:t>Art. 9º Esta Portaria entra em vigor na data da sua publicação.</w:t>
      </w:r>
    </w:p>
    <w:p>
      <w:r>
        <w:t>RICARDO PENA PINHEIRO</w:t>
      </w:r>
    </w:p>
    <w:p>
      <w:r>
        <w:br w:type="page"/>
      </w:r>
    </w:p>
    <w:p>
      <w:pPr>
        <w:pStyle w:val="Heading1"/>
      </w:pPr>
      <w:r>
        <w:t>2026-09-03</w:t>
      </w:r>
    </w:p>
    <w:p>
      <w:pPr>
        <w:pStyle w:val="Heading2"/>
      </w:pPr>
      <w:r>
        <w:t>Portaria Previc Nº 624, DE 17 DE agosto DE 2026</w:t>
      </w:r>
    </w:p>
    <w:p>
      <w:r>
        <w:t>Categoria: Ministério da Previdência Social/Superintendência Nacional de Previdência Complementar/Diretoria de Licenciamento</w:t>
      </w:r>
    </w:p>
    <w:p>
      <w:r>
        <w:t>Página: 72</w:t>
      </w:r>
    </w:p>
    <w:p/>
    <w:p>
      <w:r>
        <w:t>Portaria Previc Nº 624, DE 17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44011.000632/2026-67, resolve:</w:t>
      </w:r>
    </w:p>
    <w:p>
      <w:r>
        <w:t>Art.1º Aprovar as alterações propostas ao regulamento do Plano de Benefícios SESCPrev - SC, CNPB nº 2006.0014-11, administrado pela SOC DE PREV COMPL DO SISTEMA FED DA IND DO ESTADO DE SC - Previsc, CNPJ nº 80.150.857/0001-27.</w:t>
      </w:r>
    </w:p>
    <w:p>
      <w:r>
        <w:t>Art.2º Esta Portaria entra em vigor na data de sua publicação.</w:t>
      </w:r>
    </w:p>
    <w:p>
      <w:r>
        <w:t>GUILHERME CAPRIATA VACCARO CAMPELO BEZERRA</w:t>
      </w:r>
    </w:p>
    <w:p>
      <w:pPr>
        <w:pStyle w:val="Heading2"/>
      </w:pPr>
      <w:r>
        <w:t>Portaria Previc Nº 630, DE 18 DE agosto DE 2026</w:t>
      </w:r>
    </w:p>
    <w:p>
      <w:r>
        <w:t>Categoria: Ministério da Previdência Social/Superintendência Nacional de Previdência Complementar/Diretoria de Licenciamento</w:t>
      </w:r>
    </w:p>
    <w:p>
      <w:r>
        <w:t>Página: 73</w:t>
      </w:r>
    </w:p>
    <w:p/>
    <w:p>
      <w:r>
        <w:t>Portaria Previc Nº 630, DE 18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44011.007524/2025-34, resolve:</w:t>
      </w:r>
    </w:p>
    <w:p>
      <w:r>
        <w:t>Art.1º Aprovar as alterações propostas ao regulamento do Plano de Benefícios Randonprev, CNPB nº 1994.0002-11, administrado pelo Randonprev - Fundo de Pensão, CNPJ nº 00.016.905/0001-50.</w:t>
      </w:r>
    </w:p>
    <w:p>
      <w:r>
        <w:t>Art.2º Esta Portaria entra em vigor na data de sua publicação.</w:t>
      </w:r>
    </w:p>
    <w:p>
      <w:r>
        <w:t>GUILHERME CAPRIATA VACCARO CAMPELO BEZERRA</w:t>
      </w:r>
    </w:p>
    <w:p>
      <w:pPr>
        <w:pStyle w:val="Heading2"/>
      </w:pPr>
      <w:r>
        <w:t>Portaria Previc Nº 650, DE 24 DE agosto DE 2026</w:t>
      </w:r>
    </w:p>
    <w:p>
      <w:r>
        <w:t>Categoria: Ministério da Previdência Social/Superintendência Nacional de Previdência Complementar/Diretoria de Licenciamento</w:t>
      </w:r>
    </w:p>
    <w:p>
      <w:r>
        <w:t>Página: 73</w:t>
      </w:r>
    </w:p>
    <w:p/>
    <w:p>
      <w:r>
        <w:t>Portaria Previc Nº 650,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44011.013122/2025-79, resolve:</w:t>
      </w:r>
    </w:p>
    <w:p>
      <w:r>
        <w:t>Art.1º Aprovar as alterações propostas ao regulamento do Plano de Benefícios PrevBahia PB CIVIL, CNPB nº 2016.0008-56, administrado pela Fundação de Previdência Complementar do Estado da Bahia - PREVBAHIA, CNPJ nº 24.776.712/0001-65.</w:t>
      </w:r>
    </w:p>
    <w:p>
      <w:r>
        <w:t>Art.2º Esta Portaria entra em vigor na data de sua publicação.</w:t>
      </w:r>
    </w:p>
    <w:p>
      <w:r>
        <w:t>GUILHERME CAPRIATA VACCARO CAMPELO BEZERRA</w:t>
      </w:r>
    </w:p>
    <w:p>
      <w:pPr>
        <w:pStyle w:val="Heading2"/>
      </w:pPr>
      <w:r>
        <w:t>Portaria Previc Nº 654, DE 24 DE agosto DE 2026</w:t>
      </w:r>
    </w:p>
    <w:p>
      <w:r>
        <w:t>Categoria: Ministério da Previdência Social/Superintendência Nacional de Previdência Complementar/Diretoria de Licenciamento</w:t>
      </w:r>
    </w:p>
    <w:p>
      <w:r>
        <w:t>Página: 73</w:t>
      </w:r>
    </w:p>
    <w:p/>
    <w:p>
      <w:r>
        <w:t>Portaria Previc Nº 654,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44011.013083/2025-18, resolve:</w:t>
      </w:r>
    </w:p>
    <w:p>
      <w:r>
        <w:t>Art.1º Aprovar as alterações propostas ao regulamento do Plano de Benefícios Previdenciários nº 001, CNPB nº 1995.0017-83, administrado pela Fundação de Assistência Social e Seguridade da EMBASA - FABASA, CNPJ nº 00.947.763/0001-44.</w:t>
      </w:r>
    </w:p>
    <w:p>
      <w:r>
        <w:t>Art.2º Esta Portaria entra em vigor na data de sua publicação.</w:t>
      </w:r>
    </w:p>
    <w:p>
      <w:r>
        <w:t>GUILHERME CAPRIATA VACCARO CAMPELO BEZERRA</w:t>
      </w:r>
    </w:p>
    <w:p>
      <w:pPr>
        <w:pStyle w:val="Heading2"/>
      </w:pPr>
      <w:r>
        <w:t>Portaria Previc Nº 656, DE 24 DE agosto DE 2026</w:t>
      </w:r>
    </w:p>
    <w:p>
      <w:r>
        <w:t>Categoria: Ministério da Previdência Social/Superintendência Nacional de Previdência Complementar/Diretoria de Licenciamento</w:t>
      </w:r>
    </w:p>
    <w:p>
      <w:r>
        <w:t>Página: 73</w:t>
      </w:r>
    </w:p>
    <w:p/>
    <w:p>
      <w:r>
        <w:t>Portaria Previc Nº 656,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44011.013082/2025-65, resolve:</w:t>
      </w:r>
    </w:p>
    <w:p>
      <w:r>
        <w:t>Art.1º Aprovar as alterações propostas ao regulamento do Plano de Benefícios Previdenciários Misto nº 001, CNPB nº 2000.0024-47, administrado pela Fundação de Assistência Social e Seguridade da EMBASA - FABASA, CNPJ nº 00.947.763/0001-44.</w:t>
      </w:r>
    </w:p>
    <w:p>
      <w:r>
        <w:t>Art.2º Esta Portaria entra em vigor na data de sua publicação.</w:t>
      </w:r>
    </w:p>
    <w:p>
      <w:r>
        <w:t>GUILHERME CAPRIATA VACCARO CAMPELO BEZERRA</w:t>
      </w:r>
    </w:p>
    <w:p>
      <w:pPr>
        <w:pStyle w:val="Heading2"/>
      </w:pPr>
      <w:r>
        <w:t>Portaria Previc Nº 662, DE 26 DE agosto DE 2026</w:t>
      </w:r>
    </w:p>
    <w:p>
      <w:r>
        <w:t>Categoria: Ministério da Previdência Social/Superintendência Nacional de Previdência Complementar/Diretoria de Licenciamento</w:t>
      </w:r>
    </w:p>
    <w:p>
      <w:r>
        <w:t>Página: 73</w:t>
      </w:r>
    </w:p>
    <w:p/>
    <w:p>
      <w:r>
        <w:t>Portaria Previc Nº 662,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44011.012996/2025-17, resolve:</w:t>
      </w:r>
    </w:p>
    <w:p>
      <w:r>
        <w:t>Art.1º Aprovar as alterações propostas ao regulamento do regulamento do Plano de Benefícios do Grupo Icatu Seguros, CNPB nº 2005.0029-92, administrado pelo Icatu Fundo Multipatrocinado, CNPJ nº 01.129.017/0001-06.</w:t>
      </w:r>
    </w:p>
    <w:p>
      <w:r>
        <w:t>Art.2º Esta Portaria entra em vigor na data de sua publicação.</w:t>
      </w:r>
    </w:p>
    <w:p>
      <w:r>
        <w:t>GUILHERME CAPRIATA VACCARO CAMPELO BEZERRA</w:t>
      </w:r>
    </w:p>
    <w:p>
      <w:pPr>
        <w:pStyle w:val="Heading2"/>
      </w:pPr>
      <w:r>
        <w:t>Portaria Previc Nº 663, DE 26 DE agosto DE 2026</w:t>
      </w:r>
    </w:p>
    <w:p>
      <w:r>
        <w:t>Categoria: Ministério da Previdência Social/Superintendência Nacional de Previdência Complementar/Diretoria de Licenciamento</w:t>
      </w:r>
    </w:p>
    <w:p>
      <w:r>
        <w:t>Página: 73</w:t>
      </w:r>
    </w:p>
    <w:p/>
    <w:p>
      <w:r>
        <w:t>Portaria Previc Nº 663,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44011.013425/2025-91, resolve:</w:t>
      </w:r>
    </w:p>
    <w:p>
      <w:r>
        <w:t>Art. 1º Aprovar as alterações propostas ao regulamento do Plano de Benefícios CPIC, CNPB nº 2010.0038-29, administrado pelo MultiBRA Fundo de Pensão, CNPJ nº 30.459.788/0001-60.</w:t>
      </w:r>
    </w:p>
    <w:p>
      <w:r>
        <w:t>Art. 2º Esta Portaria entra em vigor na data de sua publicação.</w:t>
      </w:r>
    </w:p>
    <w:p>
      <w:r>
        <w:t>GUILHERME CAPRIATA VACCARO CAMPELO BEZERRA</w:t>
      </w:r>
    </w:p>
    <w:p>
      <w:pPr>
        <w:pStyle w:val="Heading2"/>
      </w:pPr>
      <w:r>
        <w:t>Portaria Previc Nº 665, DE 26 DE agosto DE 2026</w:t>
      </w:r>
    </w:p>
    <w:p>
      <w:r>
        <w:t>Categoria: Ministério da Previdência Social/Superintendência Nacional de Previdência Complementar/Diretoria de Licenciamento</w:t>
      </w:r>
    </w:p>
    <w:p>
      <w:r>
        <w:t>Página: 73</w:t>
      </w:r>
    </w:p>
    <w:p/>
    <w:p>
      <w:r>
        <w:t>Portaria Previc Nº 665,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44011.013239/2025-52, resolve:</w:t>
      </w:r>
    </w:p>
    <w:p>
      <w:r>
        <w:t>Art. 1º Aprovar as alterações propostas ao regulamento do Plano FIEPEprev, CNPB nº 2005.0065-56, administrado pelo Icatu Fundo Multipatrocinado, CNPJ nº 01.129.017/0001-06.</w:t>
      </w:r>
    </w:p>
    <w:p>
      <w:r>
        <w:t>Art. 2º Esta Portaria entra em vigor na data de sua publicação.</w:t>
      </w:r>
    </w:p>
    <w:p>
      <w:r>
        <w:t>GUILHERME CAPRIATA VACCARO CAMPELO BEZERRA</w:t>
      </w:r>
    </w:p>
    <w:p>
      <w:pPr>
        <w:pStyle w:val="Heading2"/>
      </w:pPr>
      <w:r>
        <w:t>RETIFICAÇões</w:t>
      </w:r>
    </w:p>
    <w:p>
      <w:r>
        <w:t>Categoria: Ministério da Previdência Social/Superintendência Nacional de Previdência Complementar/Gabinete</w:t>
      </w:r>
    </w:p>
    <w:p>
      <w:r>
        <w:t>Página: 72</w:t>
      </w:r>
    </w:p>
    <w:p/>
    <w:p>
      <w:r>
        <w:t>RETIFICAÇões</w:t>
      </w:r>
    </w:p>
    <w:p>
      <w:r>
        <w:t>Na PORTARIA PREVIC nº 601, de 06 de agosto de 2026, publicada na Página 59, Seção 2 do DOU de 12 de agosto de 2026, retificada no DOU de 13 de agosto de 2026.</w:t>
      </w:r>
    </w:p>
    <w:p>
      <w:r>
        <w:t>Onde se lê:</w:t>
      </w:r>
    </w:p>
    <w:p>
      <w:r>
        <w:t>I -uma Função Comissionada Executiva de Coordenador-Geral de Gestão Estratégica e Inovação Institucional, código FCE 1.13, da Superintendência Nacional de Previdência Complementar, para um Cargo Comissionado Executivo da Coordenador-Geral de Gestão Estratégica e Inovação Institucional, código CCE 1.13;</w:t>
      </w:r>
    </w:p>
    <w:p>
      <w:r>
        <w:t>II -um Cargo Comissionado Executivo de Gerente de Projetos, código CCE 3.13, da Diretoria de Licenciamento, para uma Função Comissionada Executiva de Gerente de Projetos, código FCE 3.13.</w:t>
      </w:r>
    </w:p>
    <w:p>
      <w:r>
        <w:t>Leia - se:</w:t>
      </w:r>
    </w:p>
    <w:p>
      <w:r>
        <w:t>I - uma Função Comissionada Executiva, código FCE 1.13, de Coordenador-Geral de Gestão Estratégica e Inovação Institucional, da Superintendência Nacional de Previdência Complementar, para uma Função Comissionada Executiva, código FCE 3.13, Gerente de Projeto da Diretoria de Licenciamento.</w:t>
      </w:r>
    </w:p>
    <w:p>
      <w:r>
        <w:t>II - um Cargo Comissionado Executivo, código CCE 3.13, de Gerente de Projeto, da Diretoria de Licenciamento, para um Cargo Comissionado Executivo, código CCE 1.13, de Coordenador-Geral de Gestão Estratégica e Inovação Institucional da Superintendência Nacional de Previdência Complementar.</w:t>
      </w:r>
    </w:p>
    <w:p>
      <w:r>
        <w:t>Na Portaria nº 33, de 14 de janeiro de 2025, publicada no D.O.U. de 21/01/2025, Edição: 14, Seção: 1, Página: 113, onde se lê: para a Coordenação de Fiscalização Direta, leia-se: para a Coordenação de Acompanhamento de Ações Fiscais.</w:t>
      </w:r>
    </w:p>
    <w:p>
      <w:pPr>
        <w:pStyle w:val="Heading2"/>
      </w:pPr>
      <w:r>
        <w:t>RESOLUÇÃO SUSEP N° 93, DE 2 DE SETEMBRO DE 2026</w:t>
      </w:r>
    </w:p>
    <w:p>
      <w:pPr>
        <w:pStyle w:val="ListBullet"/>
      </w:pPr>
      <w:r>
        <w:t>Ementa: Altera as Circulares Susep nº 710, de 24 de dezembro de 2024, nº 711, de 24 de dezembro de 2024, nº 713, de 24 de dezembro de 2024, nº 714, de 24 de dezembro de 2024 e nº 715, de 24 de dezembro de 2024.</w:t>
      </w:r>
    </w:p>
    <w:p>
      <w:r>
        <w:t>Categoria: Ministério da Fazenda/Superintendência de Seguros Privados</w:t>
      </w:r>
    </w:p>
    <w:p>
      <w:r>
        <w:t>Página: 2</w:t>
      </w:r>
    </w:p>
    <w:p/>
    <w:p>
      <w:r>
        <w:t>RESOLUÇÃO SUSEP N° 93, DE 2 DE SETEMBRO DE 2026</w:t>
      </w:r>
    </w:p>
    <w:p>
      <w:r>
        <w:t>Altera as Circulares Susep nº 710, de 24 de dezembro de 2024, nº 711, de 24 de dezembro de 2024, nº 713, de 24 de dezembro de 2024, nº 714, de 24 de dezembro de 2024 e nº 715, de 24 de dezembro de 2024.</w:t>
      </w:r>
    </w:p>
    <w:p>
      <w:r>
        <w:t>O SUPERINTENDENTE SUBSTITUTO DA SUPERINTENDÊNCIA DE SEGUROS PRIVADOS - SUSEP no uso das atribuições que lhe confere o art. 36-A, inciso IV, do Decreto-Lei n.º 73, de 21 de novembro de 1966, com redação dada pela Lei Complementar n.º 213, de 15 de janeiro de 2025, e considerando o que consta do Processo Susep nº 15414.639840/2026-10, resolve:</w:t>
      </w:r>
    </w:p>
    <w:p>
      <w:r>
        <w:t>Art. 1º A Circular Susep nº 710, de 24 de dezembro de 2024, passa a vigorar com a seguinte redação:</w:t>
      </w:r>
    </w:p>
    <w:p>
      <w:r>
        <w:t>"Art. 4º ...</w:t>
      </w:r>
    </w:p>
    <w:p>
      <w:r>
        <w:t>...</w:t>
      </w:r>
    </w:p>
    <w:p>
      <w:r>
        <w:t>II - ...</w:t>
      </w:r>
    </w:p>
    <w:p>
      <w:r>
        <w:t>...</w:t>
      </w:r>
    </w:p>
    <w:p>
      <w:r>
        <w:t>b) a partir da execução do ajuste para as informações referentes ao prêmio de ajuste em apólices de Crédito Interno e de Crédito à Exportação;</w:t>
      </w:r>
    </w:p>
    <w:p>
      <w:r>
        <w:t>c) a partir do recebimento do aviso das movimentações relacionadas à reavaliação da provisão e do encerramento, para as informações referentes aos sinistros; e</w:t>
      </w:r>
    </w:p>
    <w:p>
      <w:r>
        <w:t>d) a partir do encerramento de cada mês, para as informações referentes às comissões.</w:t>
      </w:r>
    </w:p>
    <w:p>
      <w:r>
        <w:t>..." (NR)</w:t>
      </w:r>
    </w:p>
    <w:p>
      <w:r>
        <w:t>"ANEXO VI - ...</w:t>
      </w:r>
    </w:p>
    <w:p>
      <w:r>
        <w:t>Art. 1º ...</w:t>
      </w:r>
    </w:p>
    <w:p>
      <w:r>
        <w:t>...</w:t>
      </w:r>
    </w:p>
    <w:p>
      <w:r>
        <w:t>I - ...</w:t>
      </w:r>
    </w:p>
    <w:p>
      <w:r>
        <w:t>b) ...</w:t>
      </w:r>
    </w:p>
    <w:p>
      <w:r>
        <w:t>1. da área segurada, quando aplicável;</w:t>
      </w:r>
    </w:p>
    <w:p>
      <w:r>
        <w:t>..." (NR)</w:t>
      </w:r>
    </w:p>
    <w:p>
      <w:r>
        <w:t>Art. 2º A Circular Susep nº 711,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4º-A As operações de seguros de pessoas com cobertura de risco, estruturada no regime financeiro de RCC ou de capitalização, com período de cobertura vigente na data do início do registro obrigatório, deverão ser registradas em até trinta dias úteis a partir desta data." (NR)</w:t>
      </w:r>
    </w:p>
    <w:p>
      <w:r>
        <w:t>"Art. 4º-B Para as operações de que tratam os arts 4º e 4ºA, deverão ser enviados os prêmios, comissões, provisões e demais movimentações financeiras referentes aos últimos cinco anos retroativos, além da situação atual da apólice ou certificado individual." (NR)</w:t>
      </w:r>
    </w:p>
    <w:p>
      <w:r>
        <w:t>"Art. 6º ...</w:t>
      </w:r>
    </w:p>
    <w:p>
      <w:r>
        <w:t>III - em até trinta dias corridos a partir do encerramento de cada mês, para as informações referentes às provisões: Provisão Matemática de Benefícios a Conceder - PMBaC, Provisão Matemática de Benefícios Concedidos - PMBC e Provisão de Excedente Financeiro - PEF, se aplicável;</w:t>
      </w:r>
    </w:p>
    <w:p>
      <w:r>
        <w:t>V - em até cinco dias úteis a partir do conhecimento do fato pela supervisionada, para o registro das operações de bloqueios e gravames;</w:t>
      </w:r>
    </w:p>
    <w:p>
      <w:r>
        <w:t>VI - para sinistros avisados, o registro da operação deve ser realizado em até trinta dias corridos do seu aviso à supervisionada, ou em até cinco dias úteis do encerramento do sinistro, o que ocorrer primeiro; e</w:t>
      </w:r>
    </w:p>
    <w:p>
      <w:r>
        <w:t>VII - em até trinta dias corridos a partir do encerramento de cada mês, para as informações referentes às comissões.</w:t>
      </w:r>
    </w:p>
    <w:p>
      <w:r>
        <w:t>..." (NR)</w:t>
      </w:r>
    </w:p>
    <w:p>
      <w:r>
        <w:t>"ANEXO III - ...</w:t>
      </w:r>
    </w:p>
    <w:p>
      <w:r>
        <w:t>Art. 1º ...</w:t>
      </w:r>
    </w:p>
    <w:p>
      <w:r>
        <w:t>...</w:t>
      </w:r>
    </w:p>
    <w:p>
      <w:r>
        <w:t>V - informação referente aos recursos da PMBaC, da PMBC e da respectiva PEF, se aplicável:</w:t>
      </w:r>
    </w:p>
    <w:p>
      <w:r>
        <w:t>a) CNPJ do FIE, quando aplicável;</w:t>
      </w:r>
    </w:p>
    <w:p>
      <w:r>
        <w:t>b) valor da PMBaC, mensalmente (estipulante e participante);</w:t>
      </w:r>
    </w:p>
    <w:p>
      <w:r>
        <w:t>c) valor da PEF, mensalmente; e</w:t>
      </w:r>
    </w:p>
    <w:p>
      <w:r>
        <w:t>d) valor da PMBC, mensalmente.</w:t>
      </w:r>
    </w:p>
    <w:p>
      <w:r>
        <w:t>..." (NR)</w:t>
      </w:r>
    </w:p>
    <w:p>
      <w:r>
        <w:t>Art. 3º A Circular Susep nº 713, de 24 de dezembro de 2024, passa a vigorar com a seguinte redação:</w:t>
      </w:r>
    </w:p>
    <w:p>
      <w:r>
        <w:t>"Art. 3º O registro das operações de previdência complementar aberta com cobertura de risco, com período de cobertura iniciado a partir dessa data, passa a ser obrigatório no primeiro dia útil do mês subsequente ao decurso de doze meses da disponibilização do leiaute pela Susep, em seu sítio eletrônico, respeitando o prazo final contido em regulamentação do CNSP.</w:t>
      </w:r>
    </w:p>
    <w:p>
      <w:r>
        <w:t>..." (NR)</w:t>
      </w:r>
    </w:p>
    <w:p>
      <w:r>
        <w:t>"Art. 6º-A Para as operações de que tratam os arts. 5º e 6º, deverão ser enviados as contribuições, comissões, provisões e demais movimentações financeiras referentes aos últimos cinco anos retroativos, além da situação atual do contrato ou certificado." (NR)</w:t>
      </w:r>
    </w:p>
    <w:p>
      <w:r>
        <w:t>"Art. 7º ...</w:t>
      </w:r>
    </w:p>
    <w:p>
      <w:r>
        <w:t>III - em até trinta dias corridos, a partir do encerramento de cada mês, para as informações referentes às provisões: Provisão Matemática de Benefícios a Conceder - PMBaC, Provisão Matemática de Benefícios Concedidos - PMBC e Provisão de Excedente Financeiro - PEF, se aplicável;</w:t>
      </w:r>
    </w:p>
    <w:p>
      <w:r>
        <w:t>V - em até cinco dias úteis a partir do conhecimento do fato pela supervisionada, para o registro das operações de bloqueios e gravames;</w:t>
      </w:r>
    </w:p>
    <w:p>
      <w:r>
        <w:t>VI - para eventos geradores de benefício ou renda avisados, o registro da operação deve ser realizado em até trinta dias corridos do seu aviso à supervisionada, ou em até cinco dias úteis da conclusão da avaliação, o que ocorrer primeiro; e</w:t>
      </w:r>
    </w:p>
    <w:p>
      <w:r>
        <w:t>VII - em até trinta dias corridos a partir do encerramento de cada mês, para as informações referentes às comissões.</w:t>
      </w:r>
    </w:p>
    <w:p>
      <w:r>
        <w:t>..." (NR)</w:t>
      </w:r>
    </w:p>
    <w:p>
      <w:r>
        <w:t>"ANEXO III - ...</w:t>
      </w:r>
    </w:p>
    <w:p>
      <w:r>
        <w:t>Art. 1º ...</w:t>
      </w:r>
    </w:p>
    <w:p>
      <w:r>
        <w:t>...</w:t>
      </w:r>
    </w:p>
    <w:p>
      <w:r>
        <w:t>V - informação referente aos recursos da PMBaC, da PMBC e da respectiva PEF, se aplicável:</w:t>
      </w:r>
    </w:p>
    <w:p>
      <w:r>
        <w:t>a) CNPJ do FIE, quando aplicável;</w:t>
      </w:r>
    </w:p>
    <w:p>
      <w:r>
        <w:t>b) valor da PMBaC, mensalmente (estipulante e participante);</w:t>
      </w:r>
    </w:p>
    <w:p>
      <w:r>
        <w:t>c) valor da PEF, mensalmente; e</w:t>
      </w:r>
    </w:p>
    <w:p>
      <w:r>
        <w:t>d) valor da PMBC, mensalmente.</w:t>
      </w:r>
    </w:p>
    <w:p>
      <w:r>
        <w:t>..." (NR)</w:t>
      </w:r>
    </w:p>
    <w:p>
      <w:r>
        <w:t>Art. 4º A Circular Susep nº 714,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5º-A As operações com cobertura por sobrevivência de planos de previdência complementar aberta e de seguros de pessoas, com período de cobertura encerrado até o início da obrigatoriedade de seu registro, que não estejam sujeitas ao disposto no art. 5º, deverão ser registradas em até trinta dias úteis contados da referida data, caso tenham apresentado movimentação financeira nos cinco anos anteriores ao início dessa obrigatoriedade." (NR)</w:t>
      </w:r>
    </w:p>
    <w:p>
      <w:r>
        <w:t>"Art. 5º-B Para as operações de que tratam os arts. 4º, 5º e 5º-A, deverão ser enviados as contribuições, comissões, provisões e demais movimentações financeiras referentes aos últimos cinco anos retroativos, além da situação atual do contrato/apólice ou certificado." (NR)</w:t>
      </w:r>
    </w:p>
    <w:p>
      <w:r>
        <w:t>"Art. 7° ...</w:t>
      </w:r>
    </w:p>
    <w:p>
      <w:r>
        <w:t>I - ...</w:t>
      </w:r>
    </w:p>
    <w:p>
      <w:r>
        <w:t>e) a partir do conhecimento do fato pela supervisionada, para o registro das operações de bloqueios e gravames;</w:t>
      </w:r>
    </w:p>
    <w:p>
      <w:r>
        <w:t>II - para eventos geradores de benefício ou renda avisados, o registro da operação deve ser realizado em até trinta dias corridos do seu aviso à supervisionada, ou em até cinco dias úteis da conclusão da avaliação, o que ocorrer primeiro; e</w:t>
      </w:r>
    </w:p>
    <w:p>
      <w:r>
        <w:t>III - em até trinta dias corridos:</w:t>
      </w:r>
    </w:p>
    <w:p>
      <w:r>
        <w:t>a) a partir do encerramento de cada mês, para as informações referentes às provisões: Provisão Matemática de Benefícios a Conceder - PMBaC, Provisão Matemática de Benefícios Concedidos -PMBC e Provisão de Excedente Financeiro - PEF, se aplicável; e</w:t>
      </w:r>
    </w:p>
    <w:p>
      <w:r>
        <w:t>b) a partir do encerramento de cada mês, para as informações referentes às comissões.</w:t>
      </w:r>
    </w:p>
    <w:p>
      <w:r>
        <w:t>..." (NR)</w:t>
      </w:r>
    </w:p>
    <w:p>
      <w:r>
        <w:t>"ANEXO - ...</w:t>
      </w:r>
    </w:p>
    <w:p>
      <w:r>
        <w:t>Art. 1º ...</w:t>
      </w:r>
    </w:p>
    <w:p>
      <w:r>
        <w:t>...</w:t>
      </w:r>
    </w:p>
    <w:p>
      <w:r>
        <w:t>X - informação referente aos recursos da PMBaC, da PMBC e da respectiva PEF, se aplicável:</w:t>
      </w:r>
    </w:p>
    <w:p>
      <w:r>
        <w:t>a) CNPJ do FIE, quando aplicável;</w:t>
      </w:r>
    </w:p>
    <w:p>
      <w:r>
        <w:t>b) valor da PMBaC, mensalmente (estipulante/instituidor e participante);</w:t>
      </w:r>
    </w:p>
    <w:p>
      <w:r>
        <w:t>c) valor da PEF, mensalmente; e</w:t>
      </w:r>
    </w:p>
    <w:p>
      <w:r>
        <w:t>d) valor da PMBC, mensalmente;</w:t>
      </w:r>
    </w:p>
    <w:p>
      <w:r>
        <w:t>..." (NR)</w:t>
      </w:r>
    </w:p>
    <w:p>
      <w:r>
        <w:t>Art. 5º A Circular Susep nº 715,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6º Ficam revogados:</w:t>
      </w:r>
    </w:p>
    <w:p>
      <w:r>
        <w:t>I - o art. 4º, § 1º, da Circular Susep nº 711, de 2024;</w:t>
      </w:r>
    </w:p>
    <w:p>
      <w:r>
        <w:t>II - o art. 6º, § 1º, da Circular Susep nº 713, de 2024; e</w:t>
      </w:r>
    </w:p>
    <w:p>
      <w:r>
        <w:t>III - os seguintes dispositivos da Circular Susep nº 714, de 2024:</w:t>
      </w:r>
    </w:p>
    <w:p>
      <w:r>
        <w:t>a) art. 5º, § 1º; e</w:t>
      </w:r>
    </w:p>
    <w:p>
      <w:r>
        <w:t>b) art. 7º, inciso I, alínea "c".</w:t>
      </w:r>
    </w:p>
    <w:p>
      <w:r>
        <w:t>Art. 7º Esta Resolução entra em vigor na data de sua publicação.</w:t>
      </w:r>
    </w:p>
    <w:p>
      <w:r>
        <w:t>CARLOS ROBERTO ALVES DE QUEIROZ</w:t>
      </w:r>
    </w:p>
    <w:p>
      <w:r>
        <w:br w:type="page"/>
      </w:r>
    </w:p>
    <w:p>
      <w:pPr>
        <w:pStyle w:val="Heading1"/>
      </w:pPr>
      <w:r>
        <w:t>2026-09-04</w:t>
      </w:r>
    </w:p>
    <w:p>
      <w:pPr>
        <w:pStyle w:val="Heading2"/>
      </w:pPr>
      <w:r>
        <w:t>ATO  Nº 1.389, DE 3 DE SETEMBRO DE 2026</w:t>
      </w:r>
    </w:p>
    <w:p>
      <w:pPr>
        <w:pStyle w:val="ListBullet"/>
      </w:pPr>
      <w:r>
        <w:t>Ementa: Decreta a liquidação extrajudicial da Trustee Distribuidora de Títulos e Valores Mobiliários Ltda.</w:t>
      </w:r>
    </w:p>
    <w:p>
      <w:r>
        <w:t>Categoria: Banco Central do Brasil</w:t>
      </w:r>
    </w:p>
    <w:p>
      <w:r>
        <w:t>Página: 211</w:t>
      </w:r>
    </w:p>
    <w:p/>
    <w:p>
      <w:r>
        <w:t>ATO Nº 1.389, DE 3 DE SETEMBRO DE 2026</w:t>
      </w:r>
    </w:p>
    <w:p>
      <w:r>
        <w:t>Decreta a liquidação extrajudicial da Trustee Distribuidora de Títulos e Valores Mobiliários Ltda.</w:t>
      </w:r>
    </w:p>
    <w:p>
      <w:r>
        <w:t>O Presidente do Banco Central do Brasil substituto, no uso das atribuições que lhe confere o art. 12, caput, inciso XI, alínea "a", do Regimento Interno do Banco Central do Brasil, anexo à Resolução BCB nº 340, de 21 de setembro de 2023, com fundamento nos arts. 15, caput, inciso I, alínea "b", e § 2º, 16, e 52 da Lei nº 6.024, de 13 de março de 1974, combinados com o art. 9º-A, parágrafo único, da Lei nº 4.728, de 14 de julho de 1965, e considerando as graves violações às normas legais que disciplinam a atividade da instituição, conforme consta no PE 313677, resolve:</w:t>
      </w:r>
    </w:p>
    <w:p>
      <w:r>
        <w:t>Art. 1º Fica decretada a liquidação extrajudicial da Trustee Distribuidora de Títulos e Valores Mobiliários Ltda., CNPJ 67.030.395/0001-46, com sede em São Paulo/SP.</w:t>
      </w:r>
    </w:p>
    <w:p>
      <w:r>
        <w:t>Art. 2º Fica nomeada liquidante, com amplos poderes de administração e liquidação, Marilena Simões Valentim, CPF ***.021.608-**.</w:t>
      </w:r>
    </w:p>
    <w:p>
      <w:r>
        <w:t>Art. 3º Fica estabelecido como termo legal da liquidação extrajudicial, o dia 6 de julho de 2026.</w:t>
      </w:r>
    </w:p>
    <w:p>
      <w:r>
        <w:t>AILTON DE AQUINO SANTOS</w:t>
      </w:r>
    </w:p>
    <w:p>
      <w:pPr>
        <w:pStyle w:val="Heading2"/>
      </w:pPr>
      <w:r>
        <w:t>ATO  Nº 1.390, DE 3 DE SETEMBRO DE 2026</w:t>
      </w:r>
    </w:p>
    <w:p>
      <w:pPr>
        <w:pStyle w:val="ListBullet"/>
      </w:pPr>
      <w:r>
        <w:t>Ementa: Decreta a liquidação extrajudicial da Banvox Distribuidora de Títulos e Valores Mobiliários Ltda.</w:t>
      </w:r>
    </w:p>
    <w:p>
      <w:r>
        <w:t>Categoria: Banco Central do Brasil</w:t>
      </w:r>
    </w:p>
    <w:p>
      <w:r>
        <w:t>Página: 211</w:t>
      </w:r>
    </w:p>
    <w:p/>
    <w:p>
      <w:r>
        <w:t>ATO Nº 1.390, DE 3 DE SETEMBRO DE 2026</w:t>
      </w:r>
    </w:p>
    <w:p>
      <w:r>
        <w:t>Decreta a liquidação extrajudicial da Banvox Distribuidora de Títulos e Valores Mobiliários Ltda.</w:t>
      </w:r>
    </w:p>
    <w:p>
      <w:r>
        <w:t>O Presidente do Banco Central do Brasil substituto, no uso das atribuições que lhe confere o art. 12, caput, inciso XI, alínea "a", do Regimento Interno do Banco Central do Brasil, anexo à Resolução BCB nº 340, de 21 de setembro de 2023, com fundamento nos arts. 15, caput, inciso I, alínea "b", e § 2º, 16, 51 e 52 da Lei nº 6.024, de 13 de março de 1974, combinados com o art. 9º-A, parágrafo único, da Lei nº 4.728, de 14 de julho de 1965, e considerando o vínculo de interesse, evidenciado pelo exercício do poder de controle e pela existência de administração comum com a Trustee Distribuidora de Títulos e Valores Mobiliários Ltda., CNPJ 67.030.395/0001-46, cuja liquidação extrajudicial é decretada nesta data, e o que mais consta no PE 313677, resolve:</w:t>
      </w:r>
    </w:p>
    <w:p>
      <w:r>
        <w:t>Art. 1º Fica decretada a liquidação extrajudicial da Banvox Distribuidora de Títulos e Valores Mobiliários Ltda., CNPJ 02.671.743/0001-19, com sede em São Paulo/SP.</w:t>
      </w:r>
    </w:p>
    <w:p>
      <w:r>
        <w:t>Art. 2º Fica nomeada liquidante, com amplos poderes de administração e liquidação, Marilena Simões Valentim, CPF ***.021.608-**.</w:t>
      </w:r>
    </w:p>
    <w:p>
      <w:r>
        <w:t>Art. 3º Fica estabelecido como termo legal da liquidação extrajudicial, o dia 6 de julho de 2026.</w:t>
      </w:r>
    </w:p>
    <w:p>
      <w:r>
        <w:t>AILTON DE AQUINO SANTOS</w:t>
      </w:r>
    </w:p>
    <w:p>
      <w:pPr>
        <w:pStyle w:val="Heading2"/>
      </w:pPr>
      <w:r>
        <w:t>RESOLUÇÃO BCB Nº 586, DE 3 DE SETEMBRO DE 2026</w:t>
      </w:r>
    </w:p>
    <w:p>
      <w:pPr>
        <w:pStyle w:val="ListBullet"/>
      </w:pPr>
      <w:r>
        <w:t>Ementa: Dispõe sobre a divulgação do Relatório de Riscos e Oportunidades Sociais, Ambientais e Climáticas - Relatório GRSAC.</w:t>
      </w:r>
    </w:p>
    <w:p>
      <w:r>
        <w:t>Categoria: Banco Central do Brasil/Diretoria Colegiada</w:t>
      </w:r>
    </w:p>
    <w:p>
      <w:r>
        <w:t>Página: 212</w:t>
      </w:r>
    </w:p>
    <w:p/>
    <w:p>
      <w:r>
        <w:t>RESOLUÇÃO BCB Nº 586, DE 3 DE SETEMBRO DE 2026</w:t>
      </w:r>
    </w:p>
    <w:p>
      <w:r>
        <w:t>Dispõe sobre a divulgação do Relatório de Riscos e Oportunidades Sociais, Ambientais e Climáticas - Relatório GRSAC.</w:t>
      </w:r>
    </w:p>
    <w:p>
      <w:r>
        <w:t>A Diretoria Colegiada do Banco Central do Brasil, em sessão realizada em 2 de setembro de 2026, com base no disposto nos arts. 9º, 10, caput, inciso IX, e 11, caput, inciso VII, da Lei nº 4.595, de 31 de dezembro de 1964, no art. 9º-A da Lei nº 4.728, de 14 de julho de 1965, nos arts. 9º, caput, inciso II, e 15 da Lei nº 12.865, de 9 de outubro de 2013, nos arts. 4º e 6º da Lei nº 14.478, de 21 de dezembro de 2022, e nos arts. 1º e 2º do Decreto nº 11.563, de 13 de junho de 2023, e tendo em vista o disposto no art. 56 da Resolução nº 4.557, de 23 de fevereiro de 2017, e no art. 63 da Resolução BCB nº 265, de 25 de novembro de 2022, resolve:</w:t>
      </w:r>
    </w:p>
    <w:p>
      <w:r>
        <w:t>CAPÍTULO I</w:t>
      </w:r>
    </w:p>
    <w:p>
      <w:r>
        <w:t>DO OBJETO, DO ESCOPO DE APLICAÇÃO E DAS DISPOSIÇÕES PRELIMINARES</w:t>
      </w:r>
    </w:p>
    <w:p>
      <w:r>
        <w:t>Art. 1º Esta Resolução dispõe sobre a divulgação do Relatório de Riscos e Oportunidades Sociais, Ambientais e Climáticas - Relatório GRSAC.</w:t>
      </w:r>
    </w:p>
    <w:p>
      <w:r>
        <w:t>Art. 2º As instituições enquadradas no Segmento 1 - S1, no Segmento 2 - S2, no Segmento 3 - S3 e no Segmento 4 - S4, nos termos da Resolução nº 4.553, de 30 de janeiro de 2017, ou nos termos da Resolução BCB nº 436, de 28 de novembro de 2024, devem divulgar documento denominado Relatório GRSAC.</w:t>
      </w:r>
    </w:p>
    <w:p>
      <w:r>
        <w:t>Parágrafo único. O Relatório GRSAC deve ser elaborado em base consolidada para as instituições integrantes de um mesmo conglomerado prudencial.</w:t>
      </w:r>
    </w:p>
    <w:p>
      <w:r>
        <w:t>Art. 3º As informações do Relatório GRSAC devem ser divulgadas conforme as tabelas de formato fixo ou flexível estabelecidas pelo Banco Central do Brasil.</w:t>
      </w:r>
    </w:p>
    <w:p>
      <w:r>
        <w:t>§ 1º As tabelas devem ser divulgadas com seus respectivos cabeçalhos.</w:t>
      </w:r>
    </w:p>
    <w:p>
      <w:r>
        <w:t>§ 2º Desde que não haja alteração da ordem de apresentação e da respectiva numeração nas tabelas com formato fixo, admite-se o acréscimo de linhas ou de colunas, com vistas à maior granularidade das informações para facilitar o entendimento dos usuários.</w:t>
      </w:r>
    </w:p>
    <w:p>
      <w:r>
        <w:t>§ 3º As tabelas de formato fixo devem ser acompanhadas de comentários adicionais contendo as informações suplementares requeridas em cada uma delas.</w:t>
      </w:r>
    </w:p>
    <w:p>
      <w:r>
        <w:t>§ 4º Nos casos excepcionais em que a divulgação de informações requeridas no Relatório GRSAC ferir cláusulas de confidencialidade ou de propriedade intelectual, o correspondente item específico pode não ser divulgado, desde que justificado em comentário adicional à respectiva tabela.</w:t>
      </w:r>
    </w:p>
    <w:p>
      <w:r>
        <w:t>§ 5º É discricionária a forma de apresentação das informações requeridas nas tabelas com formato flexível.</w:t>
      </w:r>
    </w:p>
    <w:p>
      <w:r>
        <w:t>CAPÍTULO II</w:t>
      </w:r>
    </w:p>
    <w:p>
      <w:r>
        <w:t>DA DIVULGAÇÃO DAS INFORMAÇÕES</w:t>
      </w:r>
    </w:p>
    <w:p>
      <w:r>
        <w:t>Art. 4º Observada a segmentação estabelecida no Capítulo III desta Resolução, as instituições mencionadas no art. 2º devem divulgar o Relatório GRSAC com informações qualitativas e quantitativas referentes ao risco social, ao risco ambiental e ao risco climático, conforme as seguintes tabelas:</w:t>
      </w:r>
    </w:p>
    <w:p>
      <w:r>
        <w:t>I - Tabela CRFRA-GOV: Governança do gerenciamento do risco social, do risco ambiental e do risco climático;</w:t>
      </w:r>
    </w:p>
    <w:p>
      <w:r>
        <w:t>II - Tabela CRFRA-EST: Estratégias utilizadas no tratamento do risco social, do risco ambiental e do risco climático;</w:t>
      </w:r>
    </w:p>
    <w:p>
      <w:r>
        <w:t>III - Tabela CRFRA-GER: Gerenciamento do risco social, do risco ambiental e do risco climático;</w:t>
      </w:r>
    </w:p>
    <w:p>
      <w:r>
        <w:t>IV - Tabela CRFRB: Informações sobre o risco climático (risco de transição, risco físico e concentrações de risco);</w:t>
      </w:r>
    </w:p>
    <w:p>
      <w:r>
        <w:t>V - Tabela CRFR1: Risco climático de transição - Exposições e emissões financiadas por setor econômico;</w:t>
      </w:r>
    </w:p>
    <w:p>
      <w:r>
        <w:t>VI - Tabela CRFR1 Agro: Exposições ao setor agropecuário agrupadas por região geográfica;</w:t>
      </w:r>
    </w:p>
    <w:p>
      <w:r>
        <w:t>VII - Tabela CRFR2 Seca: Risco climático físico "Seca" - Exposições agrupadas por setor econômico e região geográfica;</w:t>
      </w:r>
    </w:p>
    <w:p>
      <w:r>
        <w:t>VIII - Tabela CRFR2 Chuva Intensa: Risco climático físico "Chuva intensa" - Exposições agrupadas por natureza da contraparte e região geográfica;</w:t>
      </w:r>
    </w:p>
    <w:p>
      <w:r>
        <w:t>IX - Tabela PTC1: Plano de transição relacionado às mudanças climáticas;</w:t>
      </w:r>
    </w:p>
    <w:p>
      <w:r>
        <w:t>X - Tabela RSA1: Exposições ao risco social e ao risco ambiental;</w:t>
      </w:r>
    </w:p>
    <w:p>
      <w:r>
        <w:t>XI - Tabela COMP1: Compromissos de natureza social, ambiental ou climática; e</w:t>
      </w:r>
    </w:p>
    <w:p>
      <w:r>
        <w:t>XII - Tabela COMP2: Detalhamento dos compromissos de natureza social, ambiental ou climática mencionados na Tabela COMP1.</w:t>
      </w:r>
    </w:p>
    <w:p>
      <w:r>
        <w:t>§ 1º A classificação das contrapartes por setor econômico, quando requerida nas tabelas mencionadas no caput, deve seguir a planilha de referência disponibilizada pelo Banco Central do Brasil, estabelecida com base nos códigos da Classificação Nacional de Atividades Econômicas - CNAE, definidos pelo Instituto Brasileiro de Geografia e Estatística - IBGE.</w:t>
      </w:r>
    </w:p>
    <w:p>
      <w:r>
        <w:t>§ 2º Nos casos em que uma contraparte estiver associada a mais de um código CNAE, deve ser considerada a principal atividade por ela desenvolvida para a definição do setor econômico adotado no reporte.</w:t>
      </w:r>
    </w:p>
    <w:p>
      <w:r>
        <w:t>§ 3º O link para a planilha de referência disponibilizada pelo Banco Central do Brasil deve constar de cada tabela do Relatório GRSAC em que haja a segregação das contrapartes por setor econômico.</w:t>
      </w:r>
    </w:p>
    <w:p>
      <w:r>
        <w:t>§ 4º Para fins do disposto no inciso IX do caput, considera-se plano de transição relacionado às mudanças climáticas o conjunto de informações divulgadas pela instituição descrevendo as estratégias implementadas para o cumprimento, em horizonte de tempo determinado, de metas de redução de emissões de gases de efeito estufa, incluindo medidas associadas a seus ativos, suas operações e seu modelo de negócios.</w:t>
      </w:r>
    </w:p>
    <w:p>
      <w:r>
        <w:t>§ 5º Considera-se atendido o requerimento de divulgação de informações relativas a pactos, acordos ou compromissos nacionais ou internacionais de natureza social, de natureza ambiental ou de natureza climática, de que tratam a Resolução CMN nº 4.945, de 15 de setembro de 2021, e a Resolução BCB nº 331, de 27 de junho de 2023, pela divulgação das tabelas mencionadas nos incisos XI e XII do caput.</w:t>
      </w:r>
    </w:p>
    <w:p>
      <w:r>
        <w:t>Art. 5º É facultativa a divulgação, no Relatório GRSAC, da Tabela OPO: Oportunidades de negócios associadas aos temas social, ambiental e climático.</w:t>
      </w:r>
    </w:p>
    <w:p>
      <w:r>
        <w:t>CAPÍTULO III</w:t>
      </w:r>
    </w:p>
    <w:p>
      <w:r>
        <w:t>DA SEGMENTAÇÃO DA DIVULGAÇÃO</w:t>
      </w:r>
    </w:p>
    <w:p>
      <w:r>
        <w:t>Art. 6º As instituições enquadradas no S1, no S2 e no S3 devem divulgar todas as tabelas mencionadas no art. 4º, ressalvadas as informações identificadas como facultativas nas instruções de preenchimento de cada tabela.</w:t>
      </w:r>
    </w:p>
    <w:p>
      <w:r>
        <w:t>Art. 7º As instituições enquadradas no S4 devem divulgar as tabelas mencionadas no art. 4º, caput, incisos I, XI e XII.</w:t>
      </w:r>
    </w:p>
    <w:p>
      <w:r>
        <w:t>CAPÍTULO IV</w:t>
      </w:r>
    </w:p>
    <w:p>
      <w:r>
        <w:t>DA PERIODICIDADE DE DIVULGAÇÃO</w:t>
      </w:r>
    </w:p>
    <w:p>
      <w:r>
        <w:t>Art. 8º O Relatório GRSAC deve ser divulgado com periodicidade anual, relativamente à data-base de 31 de dezembro, observado o prazo máximo de noventa dias após a referida data-base, sem prejuízo do disposto no parágrafo único.</w:t>
      </w:r>
    </w:p>
    <w:p>
      <w:r>
        <w:t>Parágrafo único. É facultada a divulgação do primeiro Relatório GRSAC contendo as informações de que trata o art. 4º no prazo de até cento e oitenta dias da data-base estabelecida pelo caput.</w:t>
      </w:r>
    </w:p>
    <w:p>
      <w:r>
        <w:t>CAPÍTULO V</w:t>
      </w:r>
    </w:p>
    <w:p>
      <w:r>
        <w:t>DAS DISPOSIÇÕES FINAIS</w:t>
      </w:r>
    </w:p>
    <w:p>
      <w:r>
        <w:t>Art. 9º O Relatório GRSAC deve estar disponível no sítio da instituição na internet, pelo período de cinco anos, contados a partir da data de sua divulgação, em um único local, de acesso público e de fácil localização.</w:t>
      </w:r>
    </w:p>
    <w:p>
      <w:r>
        <w:t>§ 1º As informações requeridas no Relatório GRSAC devem estar disponíveis também em formato de dados abertos, segundo especificações estabelecidas pelo Banco Central do Brasil.</w:t>
      </w:r>
    </w:p>
    <w:p>
      <w:r>
        <w:t>§ 2º A suspensão da exigência de disponibilização em formato de dados abertos por ato expresso do Banco Central do Brasil, em decorrência da necessidade de adaptações às especificações mencionadas no § 1º ou aos sistemas utilizados pelas instituições, não dispensa a divulgação de que trata o caput nem o cumprimento das demais obrigações estabelecidas nesta Resolução.</w:t>
      </w:r>
    </w:p>
    <w:p>
      <w:r>
        <w:t>Art. 10. O Relatório GRSAC deverá ser imediatamente atualizado e novamente divulgado na hipótese de identificação de inconsistências nas respectivas informações.</w:t>
      </w:r>
    </w:p>
    <w:p>
      <w:r>
        <w:t>Parágrafo único. A ocorrência de atualização na forma do caput deve ser explicitada na nova versão divulgada no sítio da instituição na internet, permanecendo disponível pelo período de cinco anos, contados a partir da data de sua republicação.</w:t>
      </w:r>
    </w:p>
    <w:p>
      <w:r>
        <w:t>Art. 11. A divulgação do Relatório GRSAC é de responsabilidade do diretor responsável pela divulgação de informações, indicado nos termos da regulação que dispõe sobre a estrutura de gerenciamento de riscos, a estrutura de gerenciamento de capital e a política de divulgação de informações.</w:t>
      </w:r>
    </w:p>
    <w:p>
      <w:r>
        <w:t>Art. 12. As instituições enquadradas no S3 e no S4 podem divulgar as tabelas mencionadas no art. 4º, caput, incisos II e V a XII, a que estiverem sujeitas nos termos dos arts. 6º e 7º, a partir da data-base de 31 de dezembro de 2028.</w:t>
      </w:r>
    </w:p>
    <w:p>
      <w:r>
        <w:t>Art. 13. Ficam revogados:</w:t>
      </w:r>
    </w:p>
    <w:p>
      <w:r>
        <w:t>I - o art. 15 da Resolução BCB nº 139, de 15 de setembro de 2021, publicada no Diário Oficial da União de 16 de setembro de 2021; e</w:t>
      </w:r>
    </w:p>
    <w:p>
      <w:r>
        <w:t>II - a Resolução BCB nº 139, de 15 de setembro de 2021, publicada no Diário Oficial da União de 16 de setembro de 2021.</w:t>
      </w:r>
    </w:p>
    <w:p>
      <w:r>
        <w:t>Art. 14. Esta Resolução entra em vigor:</w:t>
      </w:r>
    </w:p>
    <w:p>
      <w:r>
        <w:t>I - na data de sua publicação, em relação ao art. 13, caput, inciso I; e</w:t>
      </w:r>
    </w:p>
    <w:p>
      <w:r>
        <w:t>II - em 1º de janeiro de 2027, em relação aos demais dispositivos.</w:t>
      </w:r>
    </w:p>
    <w:p>
      <w:r>
        <w:t>GILNEU FRANCISCO ASTOLFI VIVAN</w:t>
      </w:r>
    </w:p>
    <w:p>
      <w:r>
        <w:t>Diretor de Regulação</w:t>
      </w:r>
    </w:p>
    <w:p>
      <w:pPr>
        <w:pStyle w:val="Heading2"/>
      </w:pPr>
      <w:r>
        <w:t>INSTRUÇÃO NORMATIVA BCB Nº 774, DE 3 DE SETEMBRO DE 2026</w:t>
      </w:r>
    </w:p>
    <w:p>
      <w:pPr>
        <w:pStyle w:val="ListBullet"/>
      </w:pPr>
      <w:r>
        <w:t>Ementa: Divulga a versão 7.4 do documento "Requisitos Mínimos para a Experiência do Usuário", que compõe o Regulamento do Pix.</w:t>
      </w:r>
    </w:p>
    <w:p>
      <w:r>
        <w:t>Categoria: Banco Central do Brasil/Área de Organização do Sistema Financeiro e de Resolução/Departamento de Competição e de Estrutura do Mercado Financeiro</w:t>
      </w:r>
    </w:p>
    <w:p>
      <w:r>
        <w:t>Página: 212</w:t>
      </w:r>
    </w:p>
    <w:p/>
    <w:p>
      <w:r>
        <w:t>INSTRUÇÃO NORMATIVA BCB Nº 774, DE 3 DE SETEMBRO DE 2026</w:t>
      </w:r>
    </w:p>
    <w:p>
      <w:r>
        <w:t>Divulga a versão 7.4 do documento "Requisitos Mínimos para a Experiência do Usuário", que compõe o Regulamento do Pix.</w:t>
      </w:r>
    </w:p>
    <w:p>
      <w:r>
        <w:t>O Chefe do Departamento de Competição e de Estrutura do Mercado Financeiro (Decem), no uso das atribuições que lhe conferem os arts. 23, caput, inciso I, alínea "a", e 94, caput, inciso IX, do Regimento Interno do Banco Central do Brasil, anexo à Resolução BCB nº 340, de 21 de setembro de 2023, e tendo em vista o disposto no art. 2º, caput, inciso IV, do Regulamento anexo à Resolução BCB nº 1, de 12 de agosto de 2020, resolve:</w:t>
      </w:r>
    </w:p>
    <w:p>
      <w:r>
        <w:t>Art. 1º Esta Instrução Normativa divulga a versão 7.4 do documento "Requisitos Mínimos para a Experiência do Usuário", que compõe o Regulamento do Pix, conforme art. 2º do Regulamento anexo à Resolução BCB nº 1, de 12 de agosto de 2020.</w:t>
      </w:r>
    </w:p>
    <w:p>
      <w:r>
        <w:t>Parágrafo único. O documento "Requisitos Mínimos para a Experiência do Usuário" está disponível no endereço eletrônico do Banco Central do Brasil na internet, na página destinada aos manuais que compõem o Regulamento do Pix: https://www.bcb.gov.br/content/estabilidadefinanceira/pix/Regulamento_ Pix/IV_RequisitosMinimosparaExperienciadoUsuario.pdf</w:t>
      </w:r>
    </w:p>
    <w:p>
      <w:r>
        <w:t>Art. 2º Fica revogada a Instrução Normativa BCB nº 689, de 11 de dezembro de 2025.</w:t>
      </w:r>
    </w:p>
    <w:p>
      <w:r>
        <w:t>Art. 3º Esta Instrução Normativa entra em vigor em 1º de março de 2027.</w:t>
      </w:r>
    </w:p>
    <w:p>
      <w:r>
        <w:t>Ricardo Teixeira Leite Mourão</w:t>
      </w:r>
    </w:p>
    <w:p>
      <w:r>
        <w:t>ANEXORequisitos Mínimos para a Experiência do Usuário Versão 7.4</w:t>
      </w:r>
    </w:p>
    <w:p>
      <w:r>
        <w:t>Histórico de revisão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Data</w:t>
            </w:r>
          </w:p>
        </w:tc>
        <w:tc>
          <w:tcPr>
            <w:tcW w:type="dxa" w:w="2880"/>
          </w:tcPr>
          <w:p>
            <w:r>
              <w:t>Versão</w:t>
            </w:r>
          </w:p>
        </w:tc>
        <w:tc>
          <w:tcPr>
            <w:tcW w:type="dxa" w:w="2880"/>
          </w:tcPr>
          <w:p>
            <w:r>
              <w:t>Descrição das alterações</w:t>
            </w:r>
          </w:p>
        </w:tc>
      </w:tr>
      <w:tr>
        <w:tc>
          <w:tcPr>
            <w:tcW w:type="dxa" w:w="2880"/>
          </w:tcPr>
          <w:p>
            <w:r>
              <w:t>09/2026</w:t>
            </w:r>
          </w:p>
        </w:tc>
        <w:tc>
          <w:tcPr>
            <w:tcW w:type="dxa" w:w="2880"/>
          </w:tcPr>
          <w:p>
            <w:r>
              <w:t>7.4</w:t>
            </w:r>
          </w:p>
        </w:tc>
        <w:tc>
          <w:tcPr>
            <w:tcW w:type="dxa" w:w="2880"/>
          </w:tcPr>
          <w:p>
            <w:r>
              <w:t> Capítulo 02: - Página 07 - item 10 (novo): inclusão de mensagem obrigatória para informar ao usuário quando uma transação Pix não puder ser realizada em razão de marcação de fundada suspeita de fraude transacional. - Página 10 - item 15: exclusão do item, com migração dos requisitos para os capítulos que tratam de pagamento por QR Code estático (Cap. 06) e por QR Code dinâmico, com alterações.</w:t>
            </w:r>
          </w:p>
        </w:tc>
      </w:tr>
      <w:tr>
        <w:tc>
          <w:tcPr>
            <w:tcW w:type="dxa" w:w="2880"/>
          </w:tcPr>
          <w:p>
            <w:r/>
          </w:p>
        </w:tc>
        <w:tc>
          <w:tcPr>
            <w:tcW w:type="dxa" w:w="2880"/>
          </w:tcPr>
          <w:p>
            <w:r/>
          </w:p>
        </w:tc>
        <w:tc>
          <w:tcPr>
            <w:tcW w:type="dxa" w:w="2880"/>
          </w:tcPr>
          <w:p>
            <w:r>
              <w:t>- Ajustes de numeração de itens devido à inclusão e exclusão de itens no capítulo.  Capítulo 03: - Página 13 - item 06: inclusão do termo "fundada suspeita de" no corpo do requisito e exclusão do termo "fundada" nos exemplos de mensagens de erro. - Página 14: reposicionamento de telas referentes aos itens 07 e 08 na página. - Página 14: renumeração do item 11 para item 10 e reposicionamento da tela ilustrativa correspondente.</w:t>
            </w:r>
          </w:p>
        </w:tc>
      </w:tr>
      <w:tr>
        <w:tc>
          <w:tcPr>
            <w:tcW w:type="dxa" w:w="2880"/>
          </w:tcPr>
          <w:p>
            <w:r/>
          </w:p>
        </w:tc>
        <w:tc>
          <w:tcPr>
            <w:tcW w:type="dxa" w:w="2880"/>
          </w:tcPr>
          <w:p>
            <w:r/>
          </w:p>
        </w:tc>
        <w:tc>
          <w:tcPr>
            <w:tcW w:type="dxa" w:w="2880"/>
          </w:tcPr>
          <w:p>
            <w:r>
              <w:t>- Página 15 - item 11 (novo): inclusão de requisitos para contatos favoritos, com armazenamento da chave Pix utilizada na iniciação e alerta obrigatório ao usuário pagador em caso de alteração da identificação do usuário recebedor. Inclusão de tela exemplificativa. - Página 16 - item 14: inclusão de obrigatoriedade de exibição do Nome Fantasia de pessoa jurídica do usuário recebedor, quando existente, e vedação à inclusão de propagandas, ofertas, links e conteúdos alheios à transação nos comprovantes de pagamento. - Ajustes de numeração de itens devido à inclusão de novo item no capítulo.</w:t>
            </w:r>
          </w:p>
        </w:tc>
      </w:tr>
      <w:tr>
        <w:tc>
          <w:tcPr>
            <w:tcW w:type="dxa" w:w="2880"/>
          </w:tcPr>
          <w:p>
            <w:r/>
          </w:p>
        </w:tc>
        <w:tc>
          <w:tcPr>
            <w:tcW w:type="dxa" w:w="2880"/>
          </w:tcPr>
          <w:p>
            <w:r/>
          </w:p>
        </w:tc>
        <w:tc>
          <w:tcPr>
            <w:tcW w:type="dxa" w:w="2880"/>
          </w:tcPr>
          <w:p>
            <w:r>
              <w:t> Capítulo 04: - Página 21 - item 08: inclusão de obrigatoriedade de exibição do Nome Fantasia de pessoa jurídica do usuário recebedor, quando existente; e vedação à inclusão de propagandas, ofertas, links e conteúdos alheios à transação nos comprovantes de pagamento.  Capítulo 06: - Página 27 - item 01: inclusão de vedação à exibição da chave Pix entre os dados retornados do DICT em leituras de QR Code estático, em substituição ao</w:t>
            </w:r>
          </w:p>
        </w:tc>
      </w:tr>
      <w:tr>
        <w:tc>
          <w:tcPr>
            <w:tcW w:type="dxa" w:w="2880"/>
          </w:tcPr>
          <w:p>
            <w:r/>
          </w:p>
        </w:tc>
        <w:tc>
          <w:tcPr>
            <w:tcW w:type="dxa" w:w="2880"/>
          </w:tcPr>
          <w:p>
            <w:r/>
          </w:p>
        </w:tc>
        <w:tc>
          <w:tcPr>
            <w:tcW w:type="dxa" w:w="2880"/>
          </w:tcPr>
          <w:p>
            <w:r>
              <w:t>requisito excluído do Cap. 02 (item 15), com exclusão do trecho "quando o TxId estiver preenchido". - Página 29 - item 08: inclusão do termo "fundada suspeita de" no corpo do requisito e exclusão do termo "fundada" nos exemplos de mensagens de erro. - Página 31 - item 13: inclusão de obrigatoriedade de exibição do Nome Fantasia de pessoa jurídica do usuário recebedor, quando existente; exclusão do trecho "quando o TxId estiver preenchido" da vedação à exibição da chave Pix e dos dados da conta; e vedação à inclusão de propagandas, ofertas, links e conteúdos alheios à transação nos comprovantes de pagamento.</w:t>
            </w:r>
          </w:p>
        </w:tc>
      </w:tr>
      <w:tr>
        <w:tc>
          <w:tcPr>
            <w:tcW w:type="dxa" w:w="2880"/>
          </w:tcPr>
          <w:p>
            <w:r/>
          </w:p>
        </w:tc>
        <w:tc>
          <w:tcPr>
            <w:tcW w:type="dxa" w:w="2880"/>
          </w:tcPr>
          <w:p>
            <w:r/>
          </w:p>
        </w:tc>
        <w:tc>
          <w:tcPr>
            <w:tcW w:type="dxa" w:w="2880"/>
          </w:tcPr>
          <w:p>
            <w:r>
              <w:t>- Página 31 - item 14: inclusão de vedação ao salvamento dos dados da conta vinculados a pagamentos por QR Code estático. Exclusão do trecho "quando o TxId estiver preenchido" da vedação à exibição da chave Pix e dos dados da conta.  Capítulo 07: - Páginas 33 e 34 - itens 01 e 03: ajustes de redação para esclarecer que, nas iniciações por QR Code dinâmico, o campo "informacoesEntreUsuarios" da pacs.008 deve ser utilizado para registrar a resposta do usuário pagador ao campo "solicitacaoPagador", quando este for informado pelo usuário recebedor.</w:t>
            </w:r>
          </w:p>
        </w:tc>
      </w:tr>
      <w:tr>
        <w:tc>
          <w:tcPr>
            <w:tcW w:type="dxa" w:w="2880"/>
          </w:tcPr>
          <w:p>
            <w:r/>
          </w:p>
        </w:tc>
        <w:tc>
          <w:tcPr>
            <w:tcW w:type="dxa" w:w="2880"/>
          </w:tcPr>
          <w:p>
            <w:r/>
          </w:p>
        </w:tc>
        <w:tc>
          <w:tcPr>
            <w:tcW w:type="dxa" w:w="2880"/>
          </w:tcPr>
          <w:p>
            <w:r>
              <w:t>Inclusão de vedação à exibição da chave Pix entre os dados retornados do DICT em leituras de QR Code dinâmico, em substituição ao requisito excluído do Cap. 02 (item 15). - Página 36 - item 10: inclusão do termo "fundada suspeita de" no corpo do requisito e exclusão do termo "fundada" nos exemplos de mensagens de erro. - Página 38 - item 14: inclusão de obrigatoriedade de exibição do Nome Fantasia de pessoa jurídica do usuário recebedor, quando existente; e vedação à inclusão de propagandas, ofertas, links e conteúdos alheios à transação nos comprovantes de pagamento.</w:t>
            </w:r>
          </w:p>
        </w:tc>
      </w:tr>
      <w:tr>
        <w:tc>
          <w:tcPr>
            <w:tcW w:type="dxa" w:w="2880"/>
          </w:tcPr>
          <w:p>
            <w:r/>
          </w:p>
        </w:tc>
        <w:tc>
          <w:tcPr>
            <w:tcW w:type="dxa" w:w="2880"/>
          </w:tcPr>
          <w:p>
            <w:r/>
          </w:p>
        </w:tc>
        <w:tc>
          <w:tcPr>
            <w:tcW w:type="dxa" w:w="2880"/>
          </w:tcPr>
          <w:p>
            <w:r>
              <w:t>- Página 38 - item 15: inclusão de vedação ao salvamento dos dados da conta vinculados a pagamentos por QR Code dinâmico.  Capítulo 08: - Páginas 40 e 41 revisão geral das telas para padronização da identificação de pagamentos e recebimentos, com utilização dos sinais "+" e "-" e dos termos "Pagamento" e "Recebimento". - Página 40 - item 05: ajustes na identificação de devoluções MED nos extratos, com substituição da referência ao protocolo pelo identificador da contestação</w:t>
            </w:r>
          </w:p>
        </w:tc>
      </w:tr>
      <w:tr>
        <w:tc>
          <w:tcPr>
            <w:tcW w:type="dxa" w:w="2880"/>
          </w:tcPr>
          <w:p>
            <w:r/>
          </w:p>
        </w:tc>
        <w:tc>
          <w:tcPr>
            <w:tcW w:type="dxa" w:w="2880"/>
          </w:tcPr>
          <w:p>
            <w:r/>
          </w:p>
        </w:tc>
        <w:tc>
          <w:tcPr>
            <w:tcW w:type="dxa" w:w="2880"/>
          </w:tcPr>
          <w:p>
            <w:r>
              <w:t>e inclusão de requisitos para apresentação da devolução no extrato do usuário debitado. Inclusão de exemplo ilustrativo do item.  Capítulo 10: - Página 50 - item 08: revisão do requisito no tocante à reivindicação de posse de chaves Pix, restringindo sua aplicação às chaves do tipo número de telefone celular e incluindo orientações específicas para tentativas de cadastro de chaves e-mail já registradas por outro usuário. - Página 52 - item 12: ajustes de redação para tornar o requisito mais claro. Inclusão de orientação para que mensagens de insucesso informem a associação do</w:t>
            </w:r>
          </w:p>
        </w:tc>
      </w:tr>
      <w:tr>
        <w:tc>
          <w:tcPr>
            <w:tcW w:type="dxa" w:w="2880"/>
          </w:tcPr>
          <w:p>
            <w:r/>
          </w:p>
        </w:tc>
        <w:tc>
          <w:tcPr>
            <w:tcW w:type="dxa" w:w="2880"/>
          </w:tcPr>
          <w:p>
            <w:r/>
          </w:p>
        </w:tc>
        <w:tc>
          <w:tcPr>
            <w:tcW w:type="dxa" w:w="2880"/>
          </w:tcPr>
          <w:p>
            <w:r>
              <w:t>usuário ou da conta a marcação de suspeita de fraude transacional como motivo da rejeição, quando a notificação de infração tiver sido criada ou aceita pelo próprio PSP.  Capítulo 15: - Páginas 86, 90, 94, 97, 98 e 100 - itens 05, 06, 07, 17, 27, 34, 36, 41: padronização da exibição do campo "Objeto do pagamento" em notificações, jornadas de autorização, consultas, histórico e comprovantes do Pix Automático, observando o disposto no item 09.</w:t>
            </w:r>
          </w:p>
        </w:tc>
      </w:tr>
      <w:tr>
        <w:tc>
          <w:tcPr>
            <w:tcW w:type="dxa" w:w="2880"/>
          </w:tcPr>
          <w:p>
            <w:r/>
          </w:p>
        </w:tc>
        <w:tc>
          <w:tcPr>
            <w:tcW w:type="dxa" w:w="2880"/>
          </w:tcPr>
          <w:p>
            <w:r/>
          </w:p>
        </w:tc>
        <w:tc>
          <w:tcPr>
            <w:tcW w:type="dxa" w:w="2880"/>
          </w:tcPr>
          <w:p>
            <w:r>
              <w:t>- Página 86 - item 06: exclusão de recomendação de utilização de link na notificação para direcionamento do usuário à tela com informações da autorização. - Página 87 - item 09 (novo): inclusão de requisito para apresentação clara e destacada do campo "Objeto do pagamento", de forma a facilitar a identificação da finalidade do pagamento associado ao Pix Automático. - Páginas 86, 88 e 89 - itens 08, 13 e 16: alteração de item 16 para item 17 na referência à continuidade da jornada de autorização; - Página 92 - item 20: inclusão e padronização da exibição do campo "Objeto do pagamento", observando o disposto no item 09. Inclusão de requisito para</w:t>
            </w:r>
          </w:p>
        </w:tc>
      </w:tr>
      <w:tr>
        <w:tc>
          <w:tcPr>
            <w:tcW w:type="dxa" w:w="2880"/>
          </w:tcPr>
          <w:p>
            <w:r/>
          </w:p>
        </w:tc>
        <w:tc>
          <w:tcPr>
            <w:tcW w:type="dxa" w:w="2880"/>
          </w:tcPr>
          <w:p>
            <w:r/>
          </w:p>
        </w:tc>
        <w:tc>
          <w:tcPr>
            <w:tcW w:type="dxa" w:w="2880"/>
          </w:tcPr>
          <w:p>
            <w:r>
              <w:t>preenchimento do campo informacoesEntreUsuarios da pacs.008 com a resposta do usuário pagador ao campo solicitacaoPagador, quando este for informado pelo usuário recebedor. Exclusão da frase proibindo a disponibilização do campo "Descrição" e outros ajustes de redação. - Páginas 93 a 95, 97, 98, 100, 101 e 104 - itens 21 a 28, 34, 36, 41, 44, 58: ajustes nas telas exemplificativas para inclusão e padronização da exibição do campo "Objeto do pagamento" nas funcionalidades do Pix Automático, observando o disposto no item 09. - Página 100 - item 41: inclusão de obrigatoriedade de exibição do Nome Fantasia de pessoa jurídica do usuário recebedor, quando existente; e vedação à</w:t>
            </w:r>
          </w:p>
        </w:tc>
      </w:tr>
      <w:tr>
        <w:tc>
          <w:tcPr>
            <w:tcW w:type="dxa" w:w="2880"/>
          </w:tcPr>
          <w:p>
            <w:r/>
          </w:p>
        </w:tc>
        <w:tc>
          <w:tcPr>
            <w:tcW w:type="dxa" w:w="2880"/>
          </w:tcPr>
          <w:p>
            <w:r/>
          </w:p>
        </w:tc>
        <w:tc>
          <w:tcPr>
            <w:tcW w:type="dxa" w:w="2880"/>
          </w:tcPr>
          <w:p>
            <w:r>
              <w:t>inclusão de propagandas, ofertas, links e conteúdos alheios à transação nos comprovantes de pagamento. Inclusão de referência ao disposto no item 09 no tópico referente ao "Objeto do pagamento". - Página 100 - item 42: ajuste na tela exemplificativa para retirada da nomenclatura "Pix Automático" dos comprovantes de pagamento imediato vinculados às jornadas de autorização. - Página 104 - item 55: ajustes nos requisitos para tratamento de autorizações pendentes por ausência de resposta do PSP recebedor, com inclusão de</w:t>
            </w:r>
          </w:p>
        </w:tc>
      </w:tr>
      <w:tr>
        <w:tc>
          <w:tcPr>
            <w:tcW w:type="dxa" w:w="2880"/>
          </w:tcPr>
          <w:p>
            <w:r/>
          </w:p>
        </w:tc>
        <w:tc>
          <w:tcPr>
            <w:tcW w:type="dxa" w:w="2880"/>
          </w:tcPr>
          <w:p>
            <w:r/>
          </w:p>
        </w:tc>
        <w:tc>
          <w:tcPr>
            <w:tcW w:type="dxa" w:w="2880"/>
          </w:tcPr>
          <w:p>
            <w:r>
              <w:t>notificação de insucesso em caso de cancelamento após decorrido prazo regulamentar. - Página 104 - item 58 (novo): inclusão da obrigatoriedade de exibição do campo "Objeto do pagamento" nas notificações, quando preenchido. - Ajustes de numeração de itens devido à inclusão de novo item no capítulo.  Capítulo 16: - Páginas 105 a 119 - itens 01 a 36: reformulação geral do capítulo de Autoatendimento MED, com reorganização da jornada de contestação, inclusão de etapa</w:t>
            </w:r>
          </w:p>
        </w:tc>
      </w:tr>
      <w:tr>
        <w:tc>
          <w:tcPr>
            <w:tcW w:type="dxa" w:w="2880"/>
          </w:tcPr>
          <w:p>
            <w:r/>
          </w:p>
        </w:tc>
        <w:tc>
          <w:tcPr>
            <w:tcW w:type="dxa" w:w="2880"/>
          </w:tcPr>
          <w:p>
            <w:r/>
          </w:p>
        </w:tc>
        <w:tc>
          <w:tcPr>
            <w:tcW w:type="dxa" w:w="2880"/>
          </w:tcPr>
          <w:p>
            <w:r>
              <w:t>de triagem para identificação de situações elegíveis e não elegíveis ao MED, revisão das orientações prestadas ao usuário, aprimoramento da classificação e contextualização de suspeitas de fraude, inclusão de análise de elegibilidade antes da abertura da recuperação de valores, adequação da jornada de contestação de Pix Automático, aprimoramentos na consulta e cancelamento de contestações, inclusão de comprovantes relacionados às devoluções via MED, novas notificações para cancelamento de contestações com devolução de recursos e ajustes nas recomendações de acompanhamento do andamento das contestações.</w:t>
            </w:r>
          </w:p>
        </w:tc>
      </w:tr>
      <w:tr>
        <w:tc>
          <w:tcPr>
            <w:tcW w:type="dxa" w:w="2880"/>
          </w:tcPr>
          <w:p>
            <w:r/>
          </w:p>
        </w:tc>
        <w:tc>
          <w:tcPr>
            <w:tcW w:type="dxa" w:w="2880"/>
          </w:tcPr>
          <w:p>
            <w:r/>
          </w:p>
        </w:tc>
        <w:tc>
          <w:tcPr>
            <w:tcW w:type="dxa" w:w="2880"/>
          </w:tcPr>
          <w:p>
            <w:r>
              <w:t> Capítulo 17: - Página 123 - item 09: ajustes de redação para esclarecer que a vedação ao salvamento da chave Pix se aplica a pagamentos por QR Code estático e dinâmico, com exclusão da condição "quando o TxId estiver preenchido". - Página 123 - item 10: ajuste de redação para esclarecer que a vedação ao salvamento dos dados da conta transacional se aplica a pagamentos por QR Code estático e dinâmico, com exclusão da condição "quando o TxId estiver preenchido".</w:t>
            </w:r>
          </w:p>
        </w:tc>
      </w:tr>
      <w:tr>
        <w:tc>
          <w:tcPr>
            <w:tcW w:type="dxa" w:w="2880"/>
          </w:tcPr>
          <w:p>
            <w:r/>
          </w:p>
        </w:tc>
        <w:tc>
          <w:tcPr>
            <w:tcW w:type="dxa" w:w="2880"/>
          </w:tcPr>
          <w:p>
            <w:r/>
          </w:p>
        </w:tc>
        <w:tc>
          <w:tcPr>
            <w:tcW w:type="dxa" w:w="2880"/>
          </w:tcPr>
          <w:p>
            <w:r>
              <w:t>- Página 123 - item 11 (novo): inclusão de requisitos para contatos favoritos, com armazenamento da chave Pix utilizada na iniciação e alerta obrigatório ao usuário pagador em caso de alteração da identificação do usuário recebedor. - Ajustes de numeração de itens devido à inclusão de novo item no capítulo.  Capítulo 21 - Anexo I: - Páginas 136 a 142 - ajustes de numeração de páginas e itens citados e atualização de textos para incorporar as alterações introduzidas no manual.</w:t>
            </w:r>
          </w:p>
        </w:tc>
      </w:tr>
    </w:tbl>
    <w:p/>
    <w:p>
      <w:r>
        <w:t>Data</w:t>
      </w:r>
    </w:p>
    <w:p>
      <w:r>
        <w:t>Versão</w:t>
      </w:r>
    </w:p>
    <w:p>
      <w:r>
        <w:t>Descrição das alterações</w:t>
      </w:r>
    </w:p>
    <w:p>
      <w:r>
        <w:t>09/2026</w:t>
      </w:r>
    </w:p>
    <w:p>
      <w:r>
        <w:t>7.4</w:t>
      </w:r>
    </w:p>
    <w:p>
      <w:r>
        <w:t> Capítulo 02:</w:t>
      </w:r>
    </w:p>
    <w:p>
      <w:r>
        <w:t>- Página 07 - item 10 (novo): inclusão de mensagem obrigatória para informar ao usuário quando uma transação Pix não puder ser realizada em razão de marcação de fundada suspeita de fraude transacional.</w:t>
      </w:r>
    </w:p>
    <w:p>
      <w:r>
        <w:t>- Página 10 - item 15: exclusão do item, com migração dos requisitos para os capítulos que tratam de pagamento por QR Code estático (Cap. 06) e por QR Code dinâmico, com alterações.</w:t>
      </w:r>
    </w:p>
    <w:p>
      <w:r>
        <w:t>- Ajustes de numeração de itens devido à inclusão e exclusão de itens no capítulo.</w:t>
      </w:r>
    </w:p>
    <w:p>
      <w:r>
        <w:t> Capítulo 03:</w:t>
      </w:r>
    </w:p>
    <w:p>
      <w:r>
        <w:t>- Página 13 - item 06: inclusão do termo "fundada suspeita de" no corpo do requisito e exclusão do termo "fundada" nos exemplos de mensagens de erro.</w:t>
      </w:r>
    </w:p>
    <w:p>
      <w:r>
        <w:t>- Página 14: reposicionamento de telas referentes aos itens 07 e 08 na página.</w:t>
      </w:r>
    </w:p>
    <w:p>
      <w:r>
        <w:t>- Página 14: renumeração do item 11 para item 10 e reposicionamento da tela ilustrativa correspondente.</w:t>
      </w:r>
    </w:p>
    <w:p>
      <w:r>
        <w:t>- Página 15 - item 11 (novo): inclusão de requisitos para contatos favoritos, com armazenamento da chave Pix utilizada na iniciação e alerta obrigatório ao usuário pagador em caso de alteração da identificação do usuário recebedor. Inclusão de tela exemplificativa.</w:t>
      </w:r>
    </w:p>
    <w:p>
      <w:r>
        <w:t>- Página 16 - item 14: inclusão de obrigatoriedade de exibição do Nome Fantasia de pessoa jurídica do usuário recebedor, quando existente, e vedação à inclusão de propagandas, ofertas, links e conteúdos alheios à transação nos comprovantes de pagamento.</w:t>
      </w:r>
    </w:p>
    <w:p>
      <w:r>
        <w:t>- Ajustes de numeração de itens devido à inclusão de novo item no capítulo.</w:t>
      </w:r>
    </w:p>
    <w:p>
      <w:r>
        <w:t> Capítulo 04:</w:t>
      </w:r>
    </w:p>
    <w:p>
      <w:r>
        <w:t>- Página 21 - item 08: inclusão de obrigatoriedade de exibição do Nome Fantasia de pessoa jurídica do usuário recebedor, quando existente; e vedação à inclusão de propagandas, ofertas, links e conteúdos alheios à transação nos comprovantes de pagamento.</w:t>
      </w:r>
    </w:p>
    <w:p>
      <w:r>
        <w:t> Capítulo 06:</w:t>
      </w:r>
    </w:p>
    <w:p>
      <w:r>
        <w:t>- Página 27 - item 01: inclusão de vedação à exibição da chave Pix entre os dados retornados do DICT em leituras de QR Code estático, em substituição ao</w:t>
      </w:r>
    </w:p>
    <w:p>
      <w:r>
        <w:t>requisito excluído do Cap. 02 (item 15), com exclusão do trecho "quando o TxId estiver preenchido".</w:t>
      </w:r>
    </w:p>
    <w:p>
      <w:r>
        <w:t>- Página 29 - item 08: inclusão do termo "fundada suspeita de" no corpo do requisito e exclusão do termo "fundada" nos exemplos de mensagens de erro.</w:t>
      </w:r>
    </w:p>
    <w:p>
      <w:r>
        <w:t>- Página 31 - item 13: inclusão de obrigatoriedade de exibição do Nome Fantasia de pessoa jurídica do usuário recebedor, quando existente; exclusão do trecho "quando o TxId estiver preenchido" da vedação à exibição da chave Pix e dos dados da conta; e vedação à inclusão de propagandas, ofertas, links e conteúdos alheios à transação nos comprovantes de pagamento.</w:t>
      </w:r>
    </w:p>
    <w:p>
      <w:r>
        <w:t>- Página 31 - item 14: inclusão de vedação ao salvamento dos dados da conta vinculados a pagamentos por QR Code estático. Exclusão do trecho "quando o TxId estiver preenchido" da vedação à exibição da chave Pix e dos dados da conta.</w:t>
      </w:r>
    </w:p>
    <w:p>
      <w:r>
        <w:t> Capítulo 07:</w:t>
      </w:r>
    </w:p>
    <w:p>
      <w:r>
        <w:t>- Páginas 33 e 34 - itens 01 e 03: ajustes de redação para esclarecer que, nas iniciações por QR Code dinâmico, o campo "informacoesEntreUsuarios" da pacs.008 deve ser utilizado para registrar a resposta do usuário pagador ao campo "solicitacaoPagador", quando este for informado pelo usuário recebedor.</w:t>
      </w:r>
    </w:p>
    <w:p>
      <w:r>
        <w:t>Inclusão de vedação à exibição da chave Pix entre os dados retornados do DICT em leituras de QR Code dinâmico, em substituição ao requisito excluído do Cap. 02 (item 15).</w:t>
      </w:r>
    </w:p>
    <w:p>
      <w:r>
        <w:t>- Página 36 - item 10: inclusão do termo "fundada suspeita de" no corpo do requisito e exclusão do termo "fundada" nos exemplos de mensagens de erro.</w:t>
      </w:r>
    </w:p>
    <w:p>
      <w:r>
        <w:t>- Página 38 - item 14: inclusão de obrigatoriedade de exibição do Nome Fantasia de pessoa jurídica do usuário recebedor, quando existente; e vedação à inclusão de propagandas, ofertas, links e conteúdos alheios à transação nos comprovantes de pagamento.</w:t>
      </w:r>
    </w:p>
    <w:p>
      <w:r>
        <w:t>- Página 38 - item 15: inclusão de vedação ao salvamento dos dados da conta vinculados a pagamentos por QR Code dinâmico.</w:t>
      </w:r>
    </w:p>
    <w:p>
      <w:r>
        <w:t> Capítulo 08:</w:t>
      </w:r>
    </w:p>
    <w:p>
      <w:r>
        <w:t>- Páginas 40 e 41 revisão geral das telas para padronização da identificação de pagamentos e recebimentos, com utilização dos sinais "+" e "-" e dos termos "Pagamento" e "Recebimento".</w:t>
      </w:r>
    </w:p>
    <w:p>
      <w:r>
        <w:t>- Página 40 - item 05: ajustes na identificação de devoluções MED nos extratos, com substituição da referência ao protocolo pelo identificador da contestação</w:t>
      </w:r>
    </w:p>
    <w:p>
      <w:r>
        <w:t>e inclusão de requisitos para apresentação da devolução no extrato do usuário debitado. Inclusão de exemplo ilustrativo do item.</w:t>
      </w:r>
    </w:p>
    <w:p>
      <w:r>
        <w:t> Capítulo 10:</w:t>
      </w:r>
    </w:p>
    <w:p>
      <w:r>
        <w:t>- Página 50 - item 08: revisão do requisito no tocante à reivindicação de posse de chaves Pix, restringindo sua aplicação às chaves do tipo número de telefone celular e incluindo orientações específicas para tentativas de cadastro de chaves e-mail já registradas por outro usuário.</w:t>
      </w:r>
    </w:p>
    <w:p>
      <w:r>
        <w:t>- Página 52 - item 12: ajustes de redação para tornar o requisito mais claro. Inclusão de orientação para que mensagens de insucesso informem a associação do</w:t>
      </w:r>
    </w:p>
    <w:p>
      <w:r>
        <w:t>usuário ou da conta a marcação de suspeita de fraude transacional como motivo da rejeição, quando a notificação de infração tiver sido criada ou aceita pelo próprio PSP.</w:t>
      </w:r>
    </w:p>
    <w:p>
      <w:r>
        <w:t> Capítulo 15:</w:t>
      </w:r>
    </w:p>
    <w:p>
      <w:r>
        <w:t>- Páginas 86, 90, 94, 97, 98 e 100 - itens 05, 06, 07, 17, 27, 34, 36, 41: padronização da exibição do campo "Objeto do pagamento" em notificações, jornadas de autorização, consultas, histórico e comprovantes do Pix Automático, observando o disposto no item 09.</w:t>
      </w:r>
    </w:p>
    <w:p>
      <w:r>
        <w:t>- Página 86 - item 06: exclusão de recomendação de utilização de link na notificação para direcionamento do usuário à tela com informações da autorização.</w:t>
      </w:r>
    </w:p>
    <w:p>
      <w:r>
        <w:t>- Página 87 - item 09 (novo): inclusão de requisito para apresentação clara e destacada do campo "Objeto do pagamento", de forma a facilitar a identificação da finalidade do pagamento associado ao Pix Automático.</w:t>
      </w:r>
    </w:p>
    <w:p>
      <w:r>
        <w:t>- Páginas 86, 88 e 89 - itens 08, 13 e 16: alteração de item 16 para item 17 na referência à continuidade da jornada de autorização;</w:t>
      </w:r>
    </w:p>
    <w:p>
      <w:r>
        <w:t>- Página 92 - item 20: inclusão e padronização da exibição do campo "Objeto do pagamento", observando o disposto no item 09. Inclusão de requisito para</w:t>
      </w:r>
    </w:p>
    <w:p>
      <w:r>
        <w:t>preenchimento do campo informacoesEntreUsuarios da pacs.008 com a resposta do usuário pagador ao campo solicitacaoPagador, quando este for informado pelo usuário recebedor. Exclusão da frase proibindo a disponibilização do campo "Descrição" e outros ajustes de redação.</w:t>
      </w:r>
    </w:p>
    <w:p>
      <w:r>
        <w:t>- Páginas 93 a 95, 97, 98, 100, 101 e 104 - itens 21 a 28, 34, 36, 41, 44, 58: ajustes nas telas exemplificativas para inclusão e padronização da exibição do campo "Objeto do pagamento" nas funcionalidades do Pix Automático, observando o disposto no item 09.</w:t>
      </w:r>
    </w:p>
    <w:p>
      <w:r>
        <w:t>- Página 100 - item 41: inclusão de obrigatoriedade de exibição do Nome Fantasia de pessoa jurídica do usuário recebedor, quando existente; e vedação à</w:t>
      </w:r>
    </w:p>
    <w:p>
      <w:r>
        <w:t>inclusão de propagandas, ofertas, links e conteúdos alheios à transação nos comprovantes de pagamento. Inclusão de referência ao disposto no item 09 no tópico referente ao "Objeto do pagamento".</w:t>
      </w:r>
    </w:p>
    <w:p>
      <w:r>
        <w:t>- Página 100 - item 42: ajuste na tela exemplificativa para retirada da nomenclatura "Pix Automático" dos comprovantes de pagamento imediato vinculados às jornadas de autorização.</w:t>
      </w:r>
    </w:p>
    <w:p>
      <w:r>
        <w:t>- Página 104 - item 55: ajustes nos requisitos para tratamento de autorizações pendentes por ausência de resposta do PSP recebedor, com inclusão de</w:t>
      </w:r>
    </w:p>
    <w:p>
      <w:r>
        <w:t>notificação de insucesso em caso de cancelamento após decorrido prazo regulamentar.</w:t>
      </w:r>
    </w:p>
    <w:p>
      <w:r>
        <w:t>- Página 104 - item 58 (novo): inclusão da obrigatoriedade de exibição do campo "Objeto do pagamento" nas notificações, quando preenchido.</w:t>
      </w:r>
    </w:p>
    <w:p>
      <w:r>
        <w:t>- Ajustes de numeração de itens devido à inclusão de novo item no capítulo.</w:t>
      </w:r>
    </w:p>
    <w:p>
      <w:r>
        <w:t> Capítulo 16:</w:t>
      </w:r>
    </w:p>
    <w:p>
      <w:r>
        <w:t>- Páginas 105 a 119 - itens 01 a 36: reformulação geral do capítulo de Autoatendimento MED, com reorganização da jornada de contestação, inclusão de etapa</w:t>
      </w:r>
    </w:p>
    <w:p>
      <w:r>
        <w:t>de triagem para identificação de situações elegíveis e não elegíveis ao MED, revisão das orientações prestadas ao usuário, aprimoramento da classificação e contextualização de suspeitas de fraude, inclusão de análise de elegibilidade antes da abertura da recuperação de valores, adequação da jornada de contestação de Pix Automático, aprimoramentos na consulta e cancelamento de contestações, inclusão de comprovantes relacionados às devoluções via MED, novas notificações para cancelamento de contestações com devolução de recursos e ajustes nas recomendações de acompanhamento do andamento das contestações.</w:t>
      </w:r>
    </w:p>
    <w:p>
      <w:r>
        <w:t> Capítulo 17:</w:t>
      </w:r>
    </w:p>
    <w:p>
      <w:r>
        <w:t>- Página 123 - item 09: ajustes de redação para esclarecer que a vedação ao salvamento da chave Pix se aplica a pagamentos por QR Code estático e dinâmico, com exclusão da condição "quando o TxId estiver preenchido".</w:t>
      </w:r>
    </w:p>
    <w:p>
      <w:r>
        <w:t>- Página 123 - item 10: ajuste de redação para esclarecer que a vedação ao salvamento dos dados da conta transacional se aplica a pagamentos por QR Code estático e dinâmico, com exclusão da condição "quando o TxId estiver preenchido".</w:t>
      </w:r>
    </w:p>
    <w:p>
      <w:r>
        <w:t>- Página 123 - item 11 (novo): inclusão de requisitos para contatos favoritos, com armazenamento da chave Pix utilizada na iniciação e alerta obrigatório ao usuário pagador em caso de alteração da identificação do usuário recebedor.</w:t>
      </w:r>
    </w:p>
    <w:p>
      <w:r>
        <w:t>- Ajustes de numeração de itens devido à inclusão de novo item no capítulo.</w:t>
      </w:r>
    </w:p>
    <w:p>
      <w:r>
        <w:t> Capítulo 21 - Anexo I:</w:t>
      </w:r>
    </w:p>
    <w:p>
      <w:r>
        <w:t>- Páginas 136 a 142 - ajustes de numeração de páginas e itens citados e atualização de textos para incorporar as alterações introduzidas no manual.</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Teixeira Leite Mourão</w:t>
      </w:r>
    </w:p>
    <w:p>
      <w:r>
        <w:t>Chefe do Departamento de Competição e de Estrutura do Mercado Financeiro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