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RETIFICAÇÃO</w:t>
      </w:r>
    </w:p>
    <w:p>
      <w:r>
        <w:t>Categoria: Banco Central do Brasil/Área de Organização do Sistema Financeiro e de Resolução/Departamento de Organização do Sistema Financeiro</w:t>
      </w:r>
    </w:p>
    <w:p>
      <w:r>
        <w:t>Página: 352</w:t>
      </w:r>
    </w:p>
    <w:p/>
    <w:p>
      <w:r>
        <w:t>RETIFICAÇÃO</w:t>
      </w:r>
    </w:p>
    <w:p>
      <w:r>
        <w:t>No Diário Oficial nº 135, de 21.7.2026, Seção 1, página 176, referente ao Anexo da Portaria 127.250, na 2ª linha, 2ª coluna, onde se lê: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Assunto</w:t>
            </w:r>
          </w:p>
        </w:tc>
        <w:tc>
          <w:tcPr>
            <w:tcW w:type="dxa" w:w="4320"/>
          </w:tcPr>
          <w:p>
            <w:r>
              <w:t>Unidade</w:t>
            </w:r>
          </w:p>
        </w:tc>
      </w:tr>
      <w:tr>
        <w:tc>
          <w:tcPr>
            <w:tcW w:type="dxa" w:w="4320"/>
          </w:tcPr>
          <w:p>
            <w:r>
              <w:t>autorização para funcionamento de instituições de pagamento, de sociedades prestadoras de serviços de ativos virtuais e de instituição que pretendam atuar no mercado de câmbio</w:t>
            </w:r>
          </w:p>
        </w:tc>
        <w:tc>
          <w:tcPr>
            <w:tcW w:type="dxa" w:w="4320"/>
          </w:tcPr>
          <w:p>
            <w:r>
              <w:t>Desup ou Desuc</w:t>
            </w:r>
          </w:p>
        </w:tc>
      </w:tr>
    </w:tbl>
    <w:p/>
    <w:p>
      <w:r>
        <w:t>Leia-se: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t>Assunto</w:t>
            </w:r>
          </w:p>
        </w:tc>
        <w:tc>
          <w:tcPr>
            <w:tcW w:type="dxa" w:w="4320"/>
          </w:tcPr>
          <w:p>
            <w:r>
              <w:t>Unidade</w:t>
            </w:r>
          </w:p>
        </w:tc>
      </w:tr>
      <w:tr>
        <w:tc>
          <w:tcPr>
            <w:tcW w:type="dxa" w:w="4320"/>
          </w:tcPr>
          <w:p>
            <w:r>
              <w:t>autorização para funcionamento de instituições de pagamento, de sociedades prestadoras de serviços de ativos virtuais e de instituição que pretendam atuar no mercado de câmbio</w:t>
            </w:r>
          </w:p>
        </w:tc>
        <w:tc>
          <w:tcPr>
            <w:tcW w:type="dxa" w:w="4320"/>
          </w:tcPr>
          <w:p>
            <w:r>
              <w:t>Desup ou Desuc e Decon</w:t>
            </w:r>
          </w:p>
        </w:tc>
      </w:tr>
    </w:tbl>
    <w:p/>
    <w:p>
      <w:r>
        <w:br w:type="page"/>
      </w:r>
    </w:p>
    <w:p>
      <w:pPr>
        <w:pStyle w:val="Heading2"/>
      </w:pPr>
      <w:r>
        <w:t>INSTRUÇÃO NORMATIVA BCB Nº 764, DE 20 DE JULHO DE 2026</w:t>
      </w:r>
    </w:p>
    <w:p>
      <w:pPr>
        <w:pStyle w:val="ListBullet"/>
      </w:pPr>
      <w:r>
        <w:t>Ementa: Estabelece os procedimentos para a seleção das instituições credenciadas a operar como dealers com o Departamento de Operações do Mercado Aberto (Demab).</w:t>
      </w:r>
    </w:p>
    <w:p>
      <w:r>
        <w:t>Categoria: Banco Central do Brasil/Área de Política Monetária/Departamento de Operações do Mercado Aberto</w:t>
      </w:r>
    </w:p>
    <w:p>
      <w:r>
        <w:t>Página: 352</w:t>
      </w:r>
    </w:p>
    <w:p/>
    <w:p>
      <w:r>
        <w:t>INSTRUÇÃO NORMATIVA BCB Nº 764, DE 20 DE JULHO DE 2026</w:t>
      </w:r>
    </w:p>
    <w:p>
      <w:r>
        <w:t>Estabelece os procedimentos para a seleção das instituições credenciadas a operar como dealers com o Departamento de Operações do Mercado Aberto (Demab).</w:t>
      </w:r>
    </w:p>
    <w:p>
      <w:r>
        <w:t>O Chefe do Departamento de Operações do Mercado Aberto (Demab) no uso da atribuição que lhe confere o art. 23, inciso I, alínea "a", do Regimento Interno do Banco Central do Brasil, anexo à Resolução BCB nº 340, de 21 de setembro de 2023, e tendo em vista o disposto na Resolução BCB nº 180, de 19 de janeiro de 2022, resolve:</w:t>
      </w:r>
    </w:p>
    <w:p>
      <w:r>
        <w:t>CAPÍTULO I</w:t>
      </w:r>
    </w:p>
    <w:p>
      <w:r>
        <w:t>DISPOSIÇÕES GERAIS</w:t>
      </w:r>
    </w:p>
    <w:p>
      <w:r>
        <w:t>Art. 1º Esta Instrução Normativa estabelece os procedimentos para a seleção das instituições credenciadas a operar como dealers com o Departamento de Operações do Mercado Aberto (Demab) previstos na Resolução BCB nº 180, de 2022.</w:t>
      </w:r>
    </w:p>
    <w:p>
      <w:r>
        <w:t>CAPÍTULO II</w:t>
      </w:r>
    </w:p>
    <w:p>
      <w:r>
        <w:t>DO CONJUNTO DE INSTITUIÇÕES CREDENCIADAS</w:t>
      </w:r>
    </w:p>
    <w:p>
      <w:r>
        <w:t>Art. 2º O conjunto de instituições credenciadas a operar como dealers com o Demab é formado por até 12 (doze) instituições financeiras participantes do Sistema Especial de Liquidação e de Custódia (Selic).</w:t>
      </w:r>
    </w:p>
    <w:p>
      <w:r>
        <w:t>§ 1º Até 2 (duas) vagas desse conjunto são destinadas a corretoras ou distribuidoras independentes, assim definidas como aquelas não pertencentes a conglomerado financeiro com instituição bancária.</w:t>
      </w:r>
    </w:p>
    <w:p>
      <w:r>
        <w:t>§ 2º De um mesmo conglomerado financeiro, apenas a instituição que obtiver a melhor avaliação de desempenho poderá atuar como dealer.</w:t>
      </w:r>
    </w:p>
    <w:p>
      <w:r>
        <w:t>§ 3º Conglomerado financeiro é o assim considerado pelo Sistema de Informações sobre Entidades de Interesse do Banco Central (Unicad).</w:t>
      </w:r>
    </w:p>
    <w:p>
      <w:r>
        <w:t>CAPÍTULO III</w:t>
      </w:r>
    </w:p>
    <w:p>
      <w:r>
        <w:t>DA AVALIAÇÃO DE DESEMPENHO</w:t>
      </w:r>
    </w:p>
    <w:p>
      <w:r>
        <w:t>SEÇÃO I</w:t>
      </w:r>
    </w:p>
    <w:p>
      <w:r>
        <w:t>DO PRAZO DE AVALIAÇÃO</w:t>
      </w:r>
    </w:p>
    <w:p>
      <w:r>
        <w:t>Art. 3º As instituições credenciadas a operar como dealers com o Demab serão selecionadas mediante avaliação de desempenho realizada com periodicidade de 6 (seis) meses.</w:t>
      </w:r>
    </w:p>
    <w:p>
      <w:r>
        <w:t>Art. 4º Com base no desempenho semestral, os credenciamentos ocorrem nas seguintes datas:</w:t>
      </w:r>
    </w:p>
    <w:p>
      <w:r>
        <w:t>I - 10 de fevereiro, relativamente ao período de avaliação de 10 de agosto do ano anterior a 31 de janeiro; e</w:t>
      </w:r>
    </w:p>
    <w:p>
      <w:r>
        <w:t>II - 10 de agosto, relativamente ao período de avaliação de 10 de fevereiro a 31 de julho.</w:t>
      </w:r>
    </w:p>
    <w:p>
      <w:r>
        <w:t>SEÇÃO II</w:t>
      </w:r>
    </w:p>
    <w:p>
      <w:r>
        <w:t>DOS FATORES DE AVALIAÇÃO</w:t>
      </w:r>
    </w:p>
    <w:p>
      <w:r>
        <w:t>Art. 5º As instituições são selecionadas, a cada semestre, mediante avaliação de desempenho nos seguintes fatores:</w:t>
      </w:r>
    </w:p>
    <w:p>
      <w:r>
        <w:t>I - instituição candidata: operações definitivas e compromissadas com participantes do mercado e operações conduzidas pelo Demab; e</w:t>
      </w:r>
    </w:p>
    <w:p>
      <w:r>
        <w:t>II - instituição credenciada: relacionamento com o Demab, além dos fatores citados no inciso anterior.</w:t>
      </w:r>
    </w:p>
    <w:p>
      <w:r>
        <w:t>Parágrafo único. Para fins do disposto nesta Instrução Normativa, considera-se:</w:t>
      </w:r>
    </w:p>
    <w:p>
      <w:r>
        <w:t>I - instituição candidata: a instituição assim definida no § 2º do art. 11;</w:t>
      </w:r>
    </w:p>
    <w:p>
      <w:r>
        <w:t>II - instituição credenciada: a instituição que já se encontra credenciada a operar como dealer com o Demab;</w:t>
      </w:r>
    </w:p>
    <w:p>
      <w:r>
        <w:t>III - operação definitiva: a compra e a venda de títulos sem assunção dos compromissos mencionados no inciso IV;</w:t>
      </w:r>
    </w:p>
    <w:p>
      <w:r>
        <w:t>IV - operação compromissada: a compra ou a venda de títulos com o compromisso de revenda ou de recompra;</w:t>
      </w:r>
    </w:p>
    <w:p>
      <w:r>
        <w:t>V - operação conduzida pelo Demab: a operação definitiva ou a operação compromissada efetuada com o Demab ou a constituição de depósito voluntário a prazo nos termos do inciso VIII,</w:t>
      </w:r>
    </w:p>
    <w:p>
      <w:r>
        <w:t>VI - relacionamento com o Demab: a interação da instituição com a Divisão de Operações (Diope) e com a Consultoria de Análise Econômica e Financeira (Conef) do Demab, especialmente em atendimento ao disposto nos incisos II, III e IV do art. 9º da Resolução BCB nº 180, de 2022;</w:t>
      </w:r>
    </w:p>
    <w:p>
      <w:r>
        <w:t>VII - título: o título público federal depositado no Selic; e</w:t>
      </w:r>
    </w:p>
    <w:p>
      <w:r>
        <w:t>VIII - depósito voluntário a prazo: o depósito voluntário a prazo, objeto da Resolução BCB nº 129, de 19 de agosto de 2021, constituído por meio de operação no âmbito do Selic.</w:t>
      </w:r>
    </w:p>
    <w:p>
      <w:r>
        <w:t>Art. 6º Os fatores de avaliação, segundo a condição da instituição, têm os seguintes pesos: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Fator de avaliação</w:t>
            </w:r>
          </w:p>
        </w:tc>
        <w:tc>
          <w:tcPr>
            <w:tcW w:type="dxa" w:w="2880"/>
          </w:tcPr>
          <w:p>
            <w:r>
              <w:t>Definição</w:t>
            </w:r>
          </w:p>
        </w:tc>
        <w:tc>
          <w:tcPr>
            <w:tcW w:type="dxa" w:w="2880"/>
          </w:tcPr>
          <w:p>
            <w:r>
              <w:t>Instituição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Candidata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Operações definitivas com participantes do mercado</w:t>
            </w:r>
          </w:p>
        </w:tc>
        <w:tc>
          <w:tcPr>
            <w:tcW w:type="dxa" w:w="2880"/>
          </w:tcPr>
          <w:p>
            <w:r>
              <w:t>25%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Operações compromissadas com participantes do mercado</w:t>
            </w:r>
          </w:p>
        </w:tc>
        <w:tc>
          <w:tcPr>
            <w:tcW w:type="dxa" w:w="2880"/>
          </w:tcPr>
          <w:p>
            <w:r>
              <w:t>50%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Operações conduzidas pelo Demab</w:t>
            </w:r>
          </w:p>
        </w:tc>
        <w:tc>
          <w:tcPr>
            <w:tcW w:type="dxa" w:w="2880"/>
          </w:tcPr>
          <w:p>
            <w:r>
              <w:t>25%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Relacionamento com o Demab</w:t>
            </w:r>
          </w:p>
        </w:tc>
        <w:tc>
          <w:tcPr>
            <w:tcW w:type="dxa" w:w="2880"/>
          </w:tcPr>
          <w:p>
            <w:r>
              <w:t>0%</w:t>
            </w:r>
          </w:p>
        </w:tc>
      </w:tr>
    </w:tbl>
    <w:p/>
    <w:p>
      <w:r>
        <w:t>Art. 7º A avaliação de desempenho de cada instituição, na condição de candidata ou credenciada, será apurada em pontos, de acordo com a seguinte fórmula:</w:t>
      </w:r>
    </w:p>
    <w:p>
      <w:r>
        <w:t>I - VFTk,i corresponde ao valor financeiro total das operações ou à nota total da i-ésima instituição referente ao k-ésimo fator de avaliação;</w:t>
      </w:r>
    </w:p>
    <w:p>
      <w:r>
        <w:t>II - fk corresponde ao peso do k-ésimo fator de avaliação;</w:t>
      </w:r>
    </w:p>
    <w:p>
      <w:r>
        <w:t>III - n corresponde ao número de fatores de avaliação; e</w:t>
      </w:r>
    </w:p>
    <w:p>
      <w:r>
        <w:t>IV - m corresponde ao número total de instituições candidatas ou credenciadas.</w:t>
      </w:r>
    </w:p>
    <w:p>
      <w:r>
        <w:t>Parágrafo único. O fator relacionamento com o Demab será avaliado por meio de notas concedidas pela Diope e pela Conef do Demab.</w:t>
      </w:r>
    </w:p>
    <w:p>
      <w:r>
        <w:t>SEÇÃO III</w:t>
      </w:r>
    </w:p>
    <w:p>
      <w:r>
        <w:t>DA AVALIAÇÃO DAS OPERAÇÕES</w:t>
      </w:r>
    </w:p>
    <w:p>
      <w:r>
        <w:t>Art. 8º Somente as operações definitivas e compromissadas com participantes do mercado realizadas em condições competitivas serão objeto de avaliação, excluídas, sob qualquer hipótese, as que apresentem indícios de artificialidade e as contratadas com outras instituições do mesmo conglomerado financeiro ou com fundos de investimento ou entidades similares administrados por qualquer instituição integrante do referido conglomerado.</w:t>
      </w:r>
    </w:p>
    <w:p>
      <w:r>
        <w:t>Parágrafo único. Para fins de avaliação, nas operações com intermediação, é considerada, também, a participação das instituições intermediárias.</w:t>
      </w:r>
    </w:p>
    <w:p>
      <w:r>
        <w:t>Art. 9º As operações definitivas com o Demab, a constituição de depósito voluntário a prazo e as operações compromissadas em geral têm seus valores financeiros contratados multiplicados pelo número de dias úteis a decorrer até o vencimento do título, pelo número de dias úteis a decorrer até a data de liberação do depósito e pelo número de dias úteis a decorrer até a data do compromisso, respectivamente.</w:t>
      </w:r>
    </w:p>
    <w:p>
      <w:r>
        <w:t>Parágrafo único. No cômputo dos valores financeiros das operações compromissadas mencionadas no caput, o multiplicador correspondente ao número de dias úteis a decorrer até a data do compromisso fica limitado a 252 (duzentos e cinquenta e dois), ainda que o prazo do compromisso seja superior.</w:t>
      </w:r>
    </w:p>
    <w:p>
      <w:r>
        <w:t>CAPÍTULO IV</w:t>
      </w:r>
    </w:p>
    <w:p>
      <w:r>
        <w:t>DO CREDENCIAMENTO E DESCREDENCIAMENTO</w:t>
      </w:r>
    </w:p>
    <w:p>
      <w:r>
        <w:t>Art. 10. Na seleção das instituições:</w:t>
      </w:r>
    </w:p>
    <w:p>
      <w:r>
        <w:t>I - são descredenciadas as 3 (três) instituições dealers com pior avaliação, sendo uma delas corretora ou distribuidora independente; e</w:t>
      </w:r>
    </w:p>
    <w:p>
      <w:r>
        <w:t>II - são credenciadas as instituições candidatas mais bem classificadas em número que respeite o conjunto de instituições dealers definido no art. 2º.</w:t>
      </w:r>
    </w:p>
    <w:p>
      <w:r>
        <w:t>§ 1º Caso não tenha interesse em continuar a ser dealer, a instituição credenciada deve se manifestar, no último dia útil do período de avaliação, por meio de mensagem eletrônica (e-mail) para o endereço dealers.diger.demab@bcb.gov.br.</w:t>
      </w:r>
    </w:p>
    <w:p>
      <w:r>
        <w:t>§ 2º Considera-se candidata a instituição financeira participante do Selic não credenciada que:</w:t>
      </w:r>
    </w:p>
    <w:p>
      <w:r>
        <w:t>I - não tenha sido descredenciada na avaliação em curso por força do disposto no inciso I do caput deste artigo; e</w:t>
      </w:r>
    </w:p>
    <w:p>
      <w:r>
        <w:t>II - preencha os pré-requisitos para o credenciamento, estabelecidos no art. 3º da Resolução BCB nº 180, de 2022.</w:t>
      </w:r>
    </w:p>
    <w:p>
      <w:r>
        <w:t>Art.11. Na ocorrência de descredenciamento extemporâneo, o Demab decidirá pela conveniência de preencher a vaga resultante.</w:t>
      </w:r>
    </w:p>
    <w:p>
      <w:r>
        <w:t>Parágrafo único. Caso venha a se optar por preencher a vaga, o credenciamento observará a regra da candidata mais bem classificada no último período de avaliação.</w:t>
      </w:r>
    </w:p>
    <w:p>
      <w:r>
        <w:t>Art.12. Para fins do disposto nos arts. 10 e 11, a instituição candidata deve manifestar, nos 120 (cento e vinte) minutos subsequentes ao do recebimento de consulta formulada pelo Demab a respeito do assunto, por meio de mensagem eletrônica (e-mail), o seu interesse em ser credenciada.</w:t>
      </w:r>
    </w:p>
    <w:p>
      <w:r>
        <w:t>§ 1º A mensagem eletrônica (e-mail) deve ser enviada para o endereço informado no § 1º do art. 10.</w:t>
      </w:r>
    </w:p>
    <w:p>
      <w:r>
        <w:t>§ 2º O não recebimento tempestivo da mensagem será interpretado como manifestação de desinteresse da instituição candidata em ser dealer.</w:t>
      </w:r>
    </w:p>
    <w:p>
      <w:r>
        <w:t>CAPÍTULO V</w:t>
      </w:r>
    </w:p>
    <w:p>
      <w:r>
        <w:t>DA DIVULGAÇÃO DE RESULTADOS</w:t>
      </w:r>
    </w:p>
    <w:p>
      <w:r>
        <w:t>Art. 13. O Demab informará por mensagem eletrônica (e-mail), mensalmente, os resultados da avaliação de desempenho das instituições dealers.</w:t>
      </w:r>
    </w:p>
    <w:p>
      <w:r>
        <w:t>CAPÍTULO VI</w:t>
      </w:r>
    </w:p>
    <w:p>
      <w:r>
        <w:t>DAS DISPOSIÇÕES FINAIS</w:t>
      </w:r>
    </w:p>
    <w:p>
      <w:r>
        <w:t>Art. 14. O credenciamento de 10 de agosto de 2026 será efetivado de acordo com o disposto na Instrução Normativa BCB nº 451, de 29 de janeiro de 2024.</w:t>
      </w:r>
    </w:p>
    <w:p>
      <w:r>
        <w:t>Art. 15. Esta Instrução Normativa entra em vigor em 3 de agosto de 2026, produzindo efeitos a partir de 10 de agosto de 2026, quando ficará revogada a Instrução Normativa BCB nº 451, de 2024.</w:t>
      </w:r>
    </w:p>
    <w:p>
      <w:r>
        <w:t>André de Oliveira Amante</w:t>
      </w:r>
    </w:p>
    <w:p>
      <w:r>
        <w:t>ANEXO</w:t>
      </w:r>
    </w:p>
    <w:p>
      <w:r>
        <w:t>NOTA</w:t>
      </w:r>
    </w:p>
    <w:p>
      <w:r>
        <w:t>O Banco Central do Brasil (BCB) conta com um grupo de instituições financeiras habilitadas a operar com o Departamento de Operações do Mercado Aberto (Demab) nas operações de mercado aberto e na constituição de depósitos voluntários a prazo.</w:t>
      </w:r>
    </w:p>
    <w:p>
      <w:r>
        <w:t>2. A atuação do BCB por meio de um sistema de dealers segue o propósito de favorecer a eficiência das operações conduzidas pelo Demab no mercado de reservas bancárias, em benefício da implementação e da transmissão da política monetária.</w:t>
      </w:r>
    </w:p>
    <w:p>
      <w:r>
        <w:t>3. A presente instrução normativa estabelece os procedimentos para a seleção das instituições credenciadas a operar como dealers com Demab, a fim de dar cumprimento ao disposto na Resolução BCB nº 180, de 19 de janeiro de 2022.</w:t>
      </w:r>
    </w:p>
    <w:p>
      <w:r>
        <w:t>4. Nesse sentido, a instrução normativa versa sobre os seguintes aspectos: composição do conjunto de instituições credenciadas; periodicidade da avaliação de desempenho; datas de credenciamento e descredenciamento; fatores de avaliação e os respectivos pesos; fórmula para a pontuação; critérios para avaliação das operações; procedimentos para comunicação com o Demab no credenciamento e descredenciamento; e divulgação dos resultados.</w:t>
      </w:r>
    </w:p>
    <w:p>
      <w:r>
        <w:t>5. Por fim, tendo em vista o que dispõe o Decreto nº 10.411, de 30 de junho de 2020, em relação a análise de impacto regulatório (AIR), entende-se que a presente instrução normativa está dispensada de realização de AIR por dispor estritamente sobre política monetária, nos termos do art. 3º, § 2º, inciso IV, do referido decreto.</w:t>
      </w:r>
    </w:p>
    <w:p>
      <w:r>
        <w:t>André de Oliveira Amante</w:t>
      </w:r>
    </w:p>
    <w:p>
      <w:r>
        <w:t>Chefe do Demab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