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2026-07-17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6</w:t>
      </w:r>
    </w:p>
    <w:p/>
    <w:p>
      <w:pPr>
        <w:pStyle w:val="Heading2"/>
      </w:pPr>
      <w:r>
        <w:t>RETIFICAÇÃO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113</w:t>
      </w:r>
    </w:p>
    <w:p/>
    <w:p>
      <w:r>
        <w:t>RETIFICAÇÃO</w:t>
      </w:r>
    </w:p>
    <w:p>
      <w:r>
        <w:t>Na publicação da PORTARIA CGAUT/SUSEP Nº 96, DE 15 DE JULHO DE 2026, publicada no DOU de 16 de Maio de 2026, seção 1, página 64, onde se lê: " MAUREL ALEXIS WEICHERT" leia-se: "MAURO WIZENBERG"</w:t>
      </w:r>
    </w:p>
    <w:p>
      <w:r>
        <w:br w:type="page"/>
      </w:r>
    </w:p>
    <w:p>
      <w:pPr>
        <w:pStyle w:val="Heading2"/>
      </w:pPr>
      <w:r>
        <w:t>PORTARIA DIORE/SUSEP Nº 149, DE 15 DE JULHO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113</w:t>
      </w:r>
    </w:p>
    <w:p/>
    <w:p>
      <w:r>
        <w:t>PORTARIA DIORE/SUSEP Nº 149, DE 15 DE JULHO DE 2026</w:t>
      </w:r>
    </w:p>
    <w:p>
      <w:r>
        <w:t>O DIRETOR DA DIRETORIA DE ORGANIZAÇÃO DE MERCADO E REGULAÇÃO DE CONDUTA - DIORE, no uso da competência subdelegada pelo Superintendente da Susep, por meio da Portaria Susep nº 8.186, de 21 de julho de 2023, tendo em vista o disposto no inciso I do artigo 36 do Decreto-Lei nº 73, de 21 de novembro de 1966, com base no inciso V do artigo 5º da Resolução CNSP nº 422, de 11 de novembro de 2021, e no que consta do processo Susep nº 15414.623590/2026-04, resolve:</w:t>
      </w:r>
    </w:p>
    <w:p>
      <w:r>
        <w:t>Art. 1º Fica homologada a reforma e consolidação do estatuto social de FAM SEGURADORA DE CRÉDITO E GARANTIA S.A., CNPJ nº 55.428.714/0001-97, com sede na cidade de São Paulo - SP, conforme deliberado na assembleia geral extraordinária realizada em 29 de abril de 2026.</w:t>
      </w:r>
    </w:p>
    <w:p>
      <w:r>
        <w:t>Art. 2º Cancelar a autorização de FAM SEGURADORA DE CRÉDITO E GARANTIA S.A. para operar seguros pessoas.</w:t>
      </w:r>
    </w:p>
    <w:p>
      <w:r>
        <w:t>Art. 3º Ratificar que FAM SEGURADORA DE CRÉDITO E GARANTIA S.A. encontra-se autorizada a operar seguros de danos em todo o território nacional.</w:t>
      </w:r>
    </w:p>
    <w:p>
      <w:r>
        <w:t>Art.4° Esta Portaria entra em vigor na data de sua publicação.</w:t>
      </w:r>
    </w:p>
    <w:p>
      <w:r>
        <w:t>CARLOS ROBERTO ALVES DE QUEIROZ</w:t>
      </w:r>
    </w:p>
    <w:p>
      <w:r>
        <w:br w:type="page"/>
      </w:r>
    </w:p>
    <w:p>
      <w:pPr>
        <w:pStyle w:val="Heading2"/>
      </w:pPr>
      <w:r>
        <w:t>PORTARIA DIORE/SUSEP Nº 150, DE 15 DE JULHO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113</w:t>
      </w:r>
    </w:p>
    <w:p/>
    <w:p>
      <w:r>
        <w:t>PORTARIA DIORE/SUSEP Nº 150, DE 15 DE JULHO DE 2026</w:t>
      </w:r>
    </w:p>
    <w:p>
      <w:r>
        <w:t>O DIRETOR DA DIRETORIA DE ORGANIZAÇÃO DE MERCADO E REGULAÇÃO DE CONDUTA - DIORE, no uso da competência subdelegada pelo Superintendente da Susep, por meio da Portaria Susep nº 8.186, de 21 de julho de 2023, tendo em vista o disposto na alínea 'a' do artigo 36 do Decreto-Lei nº 73, de 21 de novembro de 1966, com base no inciso V do artigo 5º da Resolução CNSP nº 422, de 11 de novembro de 2021, e no que consta do processo Susep nº 15414.616994/2026-33, resolve:</w:t>
      </w:r>
    </w:p>
    <w:p>
      <w:r>
        <w:t>Art. 1º Homologar as seguintes deliberações tomadas pelos acionistas de PORTO SEGURO COMPANHIA DE SEGUROS GERAIS S.A., CNPJ nº 61.198.164/0001-60, e ITAÚ SEGUROS DE AUTO E RESIDÊNCIA S.A., CNPJ nº 08.816.067/0001-00, ambas com sede na cidade de São Paulo - SP, nas assembleias gerais extraordinárias realizadas em 28 de fevereiro de 2026:</w:t>
      </w:r>
    </w:p>
    <w:p>
      <w:r>
        <w:t>I - incorporação da totalidade do patrimônio de ITAÚ SEGUROS DE AUTO E RESIDÊNCIA S.A. por PORTO SEGURO COMPANHIA DE SEGUROS GERAIS S.A., nos termos do Instrumento de Protocolo e Justificação de Incorporação celebrado em 28 de fevereiro de 2026; e</w:t>
      </w:r>
    </w:p>
    <w:p>
      <w:r>
        <w:t>II - extinção de ITAÚ SEGUROS DE AUTO E RESIDÊNCIA S.A. e sua sucessão pela PORTO SEGURO COMPANHIA DE SEGUROS GERAIS S.A.</w:t>
      </w:r>
    </w:p>
    <w:p>
      <w:r>
        <w:t>Art.2° Esta Portaria entra em vigor na data de sua publicação.</w:t>
      </w:r>
    </w:p>
    <w:p>
      <w:r>
        <w:t>CARLOS ROBERTO ALVES DE QUEIROZ</w:t>
      </w:r>
    </w:p>
    <w:p>
      <w:r>
        <w:br w:type="page"/>
      </w:r>
    </w:p>
    <w:p>
      <w:pPr>
        <w:pStyle w:val="Heading2"/>
      </w:pPr>
      <w:r>
        <w:t>Portaria Previc Nº 419, DE 9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161</w:t>
      </w:r>
    </w:p>
    <w:p/>
    <w:p>
      <w:r>
        <w:t>Portaria Previc Nº 419, DE 9 DE junho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44011.004201/2026-70, resolve:</w:t>
      </w:r>
    </w:p>
    <w:p>
      <w:r>
        <w:t>Art. 1º Aprovar a alteração do convênio de adesão celebrado entre a Empresa Brasileira de Pesquisa Agropecuária - Embrapa, CNPJ nº 00.348.003/0001-10, na condição de patrocinadora do Plano Embrapa FlexCeres, CNPB nº 2007.0007-92, e a CERES - Fundação de Previdência, CNPJ nº 00.532.804/0001-31, na condição de entidade fechada de previdência complementar responsável pela administração do referido plano.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489, DE 30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161</w:t>
      </w:r>
    </w:p>
    <w:p/>
    <w:p>
      <w:r>
        <w:t>Portaria Previc Nº 489, DE 30 DE junho DE 2026</w:t>
      </w:r>
    </w:p>
    <w:p>
      <w:r>
        <w:t>O DIRETOR DE LICENCIAMENTO, no uso das atribuições que lhe confere a alínea "k" do inciso I do art. 66 da Portaria Previc nº 861, de 9 de outubro de 2024 (Regimento Interno da Superintendência Nacional de Previdência Complementar - Previc), e considerando as manifestações técnicas exaradas no Processo nº 44011.009280/2025-24, resolve:</w:t>
      </w:r>
    </w:p>
    <w:p>
      <w:r>
        <w:t>Art. 1º Aprovar a destinação de reserva especial com reversão de valores do Plano de Benefícios Previdenciários nº 001 (Plano BD-RN), inscrito no CPNB nº 1988.0027-29, administrado pela Néos Previdência Complementar, CNPJ nº 32.143.339/0001-33.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INSTRUÇÃO NORMATIVA BCB Nº 763, DE 16 DE JULHO DE 2026</w:t>
      </w:r>
    </w:p>
    <w:p>
      <w:pPr>
        <w:pStyle w:val="ListBullet"/>
      </w:pPr>
      <w:r>
        <w:t>Ementa: Altera a Instrução Normativa BCB nº 584, de 28 de janeiro de 2025.</w:t>
      </w:r>
    </w:p>
    <w:p>
      <w:r>
        <w:t>Categoria: Banco Central do Brasil/Área de Regulação/Departamento de Regulação Prudencial e Cambial</w:t>
      </w:r>
    </w:p>
    <w:p>
      <w:r>
        <w:t>Página: 171</w:t>
      </w:r>
    </w:p>
    <w:p/>
    <w:p>
      <w:r>
        <w:t>INSTRUÇÃO NORMATIVA BCB Nº 763, DE 16 DE JULHO DE 2026</w:t>
      </w:r>
    </w:p>
    <w:p>
      <w:r>
        <w:t>Altera a Instrução Normativa BCB nº 584, de 28 de janeiro de 2025.</w:t>
      </w:r>
    </w:p>
    <w:p>
      <w:r>
        <w:t>O Chefe do Departamento de Regulação Prudencial e Cambial - Dereg, no uso das atribuições que lhe conferem o art. 23, caput, inciso I, alínea "a"; e o art. 119, caput, inciso I, alínea "g", do Regimento Interno do Banco Central do Brasil, anexo à Resolução BCB nº 340, de 21 de setembro de 2023, e tendo em vista o disposto nos arts. 8º e 11 da Resolução nº 4.606, de 19 de outubro de 2017, nos arts. 7º e 9º da Resolução BCB nº 201, de 11 de março de 2022, e na Circular nº 3.863, de 7 de dezembro de 2017, resolve :</w:t>
      </w:r>
    </w:p>
    <w:p>
      <w:r>
        <w:t>Art. 1º As linhas 4, 6 e 8 do Anexo V da Instrução Normativa BCB nº 584, de 28 de janeiro de 2025, publicada no Diário Oficial da União de 30 de janeiro de 2025, passam a vigorar com as seguintes alterações: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N o</w:t>
            </w:r>
          </w:p>
        </w:tc>
        <w:tc>
          <w:tcPr>
            <w:tcW w:type="dxa" w:w="2880"/>
          </w:tcPr>
          <w:p>
            <w:r>
              <w:t>Dispositivo da Circular nº 3.863, de 2017</w:t>
            </w:r>
          </w:p>
        </w:tc>
        <w:tc>
          <w:tcPr>
            <w:tcW w:type="dxa" w:w="2880"/>
          </w:tcPr>
          <w:p>
            <w:r>
              <w:t>Valor - V e rubricas contábeis</w:t>
            </w:r>
          </w:p>
        </w:tc>
      </w:tr>
      <w:tr>
        <w:tc>
          <w:tcPr>
            <w:tcW w:type="dxa" w:w="2880"/>
          </w:tcPr>
          <w:p>
            <w:r>
              <w:t>Componentes do Indicador Simplificado de Exposição ao Risco Operacional -BI Simp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Art. 4º § 1º, inciso V.</w:t>
            </w:r>
          </w:p>
        </w:tc>
        <w:tc>
          <w:tcPr>
            <w:tcW w:type="dxa" w:w="2880"/>
          </w:tcPr>
          <w:p>
            <w:r>
              <w:t>Resultado financeiro líquido - RFL: V = (i) + (ii) + (iii) + (iv) + (v) + (vi) + (vii) + (viii) + (ix) + (x), em que: (i) 7.1.5.75.00.00-9: LUCROS COM TÍTULOS DE RENDA FIXA;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(ii) 8.1.5.20.00.00-8: (-) PREJUÍZOS COM TÍTULOS DE RENDA FIXA; (iii) 7.1.9.15.00.00-3: LUCROS EM OPERAÇÕES DE VENDA OU DE TRANSFERÊNCIA DE ATIVOS FINANCEIROS;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(iv) 8.1.9.15.00.00-2: (-) PREJUÍZOS EM OPERAÇÕES DE VENDA OU DE TRANSFERÊNCIA DE ATIVOS FINANCEIROS; (v) 7.1.9.16.00.00-6: LUCRO NA COMPRA OU VENDA DE MOEDA ESTRANGEIRA;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(vi) 8.1.9.16.00.00-5: (-) PREJUÍZO NA COMPRA OU VENDA DE MOEDA ESTRANGEIRA; (vii) 7.1.9.91.00.00-3: RECEITAS DE AJUSTE DE VARIAÇÃO CAMBIAL;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(viii) 8.1.9.91.00.00-2: (-) DESPESAS DE AJUSTE DE VARIAÇÃO CAMBIAL; (ix) 7.1.9.93.00.00-9: RECEITAS DE AJUSTE A VALOR JUSTO; e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(x) 8.1.9.93.00.00-8: (-) DESPESAS DE AJUSTE A VALOR JUSTO.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Art. 4º § 2º, inciso IV.</w:t>
            </w:r>
          </w:p>
        </w:tc>
        <w:tc>
          <w:tcPr>
            <w:tcW w:type="dxa" w:w="2880"/>
          </w:tcPr>
          <w:p>
            <w:r>
              <w:t>Despesas de serviços - DS: V = abs[(i) + (ii) + (iii) + (iv) + (v)], em que: (i) 8.1.5.50.01.00-4: (-) Contrato de Câmbio - Compra de Moeda Estrangeira;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(ii) 8.1.5.50.02.00-3: (-) Contrato de Câmbio - Venda de Moeda Estrangeira; (iii) 8.1.5.50.06.00-9: (-) Contratos de Compra de Ouro;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(iv) 8.1.5.50.07.00-8: (-) Contratos de Venda de Ouro; e (v) 8.1.7.54.00.00-1: (-) DESPESAS DE SERVIÇOS DO SISTEMA FINANCEIRO.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Art. 4º § 2º, inciso VI.</w:t>
            </w:r>
          </w:p>
        </w:tc>
        <w:tc>
          <w:tcPr>
            <w:tcW w:type="dxa" w:w="2880"/>
          </w:tcPr>
          <w:p>
            <w:r>
              <w:t>Outras despesas operacionais - ODO: V = abs[(i) + (ii) + (iii) + (iv) + (v) + (vi) + (vii) + (viii) + (ix) + (x)], em que: (i) 8.1.6.00.00.00-7: (-) Despesas de Investimentos;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(ii) 8.1.9.18.00.00-1: (-) DESPESAS PELO RECEBIMENTO ANTECIPADO DE VALORES RELATIVOS A TRANSAÇÕES DE PAGAMENTO;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(iii) 8.1.9.19.00.00-4: (-) DESPESAS COM SERVIÇOS ASSOCIADOS A TRANSAÇÕES DE PAGAMENTO; (iv) 8.1.9.65.00.00-7: (-) DESPESAS DE RECURSOS DO PROAGRO;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(v) 8.1.9.77.00.00-2: (-) DESPESAS DE DIREITOS ESPECÍFICOS DE CONTROLADAS NÃO SUJEITAS A AUTORIZAÇÃO DO BANCO CENTRAL;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(vi) 8.1.9.78.00.00-5: (-) DESPESAS DE OBRIGAÇÕES ESPECIFICAS DE CONTROLADAS NÃO SUJEITAS A AUTORIZAÇÃO DO BANCO CENTRAL;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(vii) 8.1.9.95.00.00-4: (-) DESPESAS DE PROVISÕES PASSIVAS NÃO ASSOCIADAS AO RISCO DE CRÉDITO; (viii) 8.1.9.96.00.00-7: (-) CUSTOS DE TRANSAÇÃO;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(ix) 8.1.9.98.00.00-3: (-) DESPESAS COM FRAUDES; e (x) 8.1.9.99.00.00-6: (-) OUTRAS DESPESAS OPERACIONAIS.</w:t>
            </w:r>
          </w:p>
        </w:tc>
      </w:tr>
    </w:tbl>
    <w:p/>
    <w:p>
      <w:r>
        <w:t>Art. 2º Esta Instrução Normativa entra em vigor na data de sua publicação.</w:t>
      </w:r>
    </w:p>
    <w:p>
      <w:r>
        <w:t>RICARDO FRANCO MOURA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