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DOU Filtrado – 2026-07-02</w:t>
      </w:r>
    </w:p>
    <w:p>
      <w:r>
        <w:t>Filtros aplicados: Superintendência Nacional de Previdência Complementar, Superintendência de Seguros Privados, Conselho Nacional de Previdência Complementar, Banco Central do Brasil, Agência Nacional de Proteção de Dados</w:t>
      </w:r>
    </w:p>
    <w:p>
      <w:r>
        <w:t>Total de atos: 10</w:t>
      </w:r>
    </w:p>
    <w:p/>
    <w:p>
      <w:pPr>
        <w:pStyle w:val="Heading2"/>
      </w:pPr>
      <w:r>
        <w:t>PORTARIA CGAUT/SUSEP nº 82, de 30 de JUNHO de 2026</w:t>
      </w:r>
    </w:p>
    <w:p>
      <w:r>
        <w:t>Categoria: Ministério da Fazenda/Superintendência de Seguros Privados/Diretoria de Organização de Mercado e Regulação de Conduta/Coordenação-Geral de Autorizações</w:t>
      </w:r>
    </w:p>
    <w:p>
      <w:r>
        <w:t>Página: 59</w:t>
      </w:r>
    </w:p>
    <w:p/>
    <w:p>
      <w:r>
        <w:t>PORTARIA CGAUT/SUSEP nº 82, de 30 de JUNHO de 2026</w:t>
      </w:r>
    </w:p>
    <w:p>
      <w:r>
        <w:t>O COORDENADOR-GERAL DA COORDENAÇÃO-GERAL DE AUTORIZAÇÕES DA SUPERINTENDÊNCIA DE SEGUROS PRIVADOS - CGAUT, no uso da competência subdelegada pelo Superintendente da Susep, por meio da Portaria nº 8.186, de 21 de julho de 2023, tendo em vista o disposto no inciso I do artigo 36 do Decreto-Lei nº 73, de 21 de novembro de 1966, com base no inciso I do artigo 5º da Resolução CNSP nº 422, de 11 de novembro de 2021, e o que consta do processo Susep nº 15414.617078/2026-11, resolve:</w:t>
      </w:r>
    </w:p>
    <w:p>
      <w:r>
        <w:t>Art. 1º Ficam homologadas as seguintes deliberações tomadas pelo acionista único de KOVR SEGURADORA S.A, CNPJ nº 42.366.302/0001-28, com sede na cidade de São Paulo - SP, na assembleia geral extraordinária realizada em 26 de fevereiro de 2026:</w:t>
      </w:r>
    </w:p>
    <w:p>
      <w:r>
        <w:t>I - aumento do capital social em R$ 4.949.999,80, elevando-o para R$ 98.561.320,28, representado por 33.801 ações ordinárias, nominativas e sem valor nominal; e</w:t>
      </w:r>
    </w:p>
    <w:p>
      <w:r>
        <w:t>II - reforma e consolidação do estatuto social.</w:t>
      </w:r>
    </w:p>
    <w:p>
      <w:r>
        <w:t>Art. 2º Esta portaria entra em vigor na data de sua publicação.</w:t>
      </w:r>
    </w:p>
    <w:p>
      <w:r>
        <w:t>MAUREL ALEXIS WEICHERT</w:t>
      </w:r>
    </w:p>
    <w:p>
      <w:r>
        <w:br w:type="page"/>
      </w:r>
    </w:p>
    <w:p>
      <w:pPr>
        <w:pStyle w:val="Heading2"/>
      </w:pPr>
      <w:r>
        <w:t>PORTARIA CGAUT/SUSEP nº 83, de 30 de JUNHO de 2026</w:t>
      </w:r>
    </w:p>
    <w:p>
      <w:r>
        <w:t>Categoria: Ministério da Fazenda/Superintendência de Seguros Privados/Diretoria de Organização de Mercado e Regulação de Conduta/Coordenação-Geral de Autorizações</w:t>
      </w:r>
    </w:p>
    <w:p>
      <w:r>
        <w:t>Página: 59</w:t>
      </w:r>
    </w:p>
    <w:p/>
    <w:p>
      <w:r>
        <w:t>PORTARIA CGAUT/SUSEP nº 83, de 30 de JUNHO de 2026</w:t>
      </w:r>
    </w:p>
    <w:p>
      <w:r>
        <w:t>O COORDENADOR-GERAL DA COORDENAÇÃO-GERAL DE AUTORIZAÇÕES DA SUPERINTENDÊNCIA DE SEGUROS PRIVADOS - CGAUT, no uso da competência delegada pelo Superintendente da Susep, por meio da Portaria nº 8.186, de 21 de julho de 2023, tendo em vista o disposto no ar go I do ar go 36 do Decreto-Lei nº 73, de 21 de novembro de 1966, com base no inciso V do ar go 5º da Resolução CNSP nº 422, de 11 de novembro de 2021, e o que consta do processo Susep nº 15414.624230/2026-11, resolve:</w:t>
      </w:r>
    </w:p>
    <w:p>
      <w:r>
        <w:t>Art. 1º Fica homologada a destituição e a eleição de administradores de LUIZASEG SEGUROS S.A., CNPJ nº 07.746.953/0001-42, com sede na cidade de São Paulo - SP, conforme deliberado na reunião do conselho de administração realizada em 8 de abril de 2026.</w:t>
      </w:r>
    </w:p>
    <w:p>
      <w:r>
        <w:t>Art. 2º Esta portaria entra em vigor na data de sua publicação.</w:t>
      </w:r>
    </w:p>
    <w:p>
      <w:r>
        <w:t>MAUREL ALEXIS WEICHERT</w:t>
      </w:r>
    </w:p>
    <w:p>
      <w:r>
        <w:br w:type="page"/>
      </w:r>
    </w:p>
    <w:p>
      <w:pPr>
        <w:pStyle w:val="Heading2"/>
      </w:pPr>
      <w:r>
        <w:t>PORTARIA CGAUT/SUSEP nº 84, de 30 de JUNHO de 2026</w:t>
      </w:r>
    </w:p>
    <w:p>
      <w:r>
        <w:t>Categoria: Ministério da Fazenda/Superintendência de Seguros Privados/Diretoria de Organização de Mercado e Regulação de Conduta/Coordenação-Geral de Autorizações</w:t>
      </w:r>
    </w:p>
    <w:p>
      <w:r>
        <w:t>Página: 60</w:t>
      </w:r>
    </w:p>
    <w:p/>
    <w:p>
      <w:r>
        <w:t>PORTARIA CGAUT/SUSEP nº 84, de 30 de JUNHO de 2026</w:t>
      </w:r>
    </w:p>
    <w:p>
      <w:r>
        <w:t>O COORDENADOR-GERAL DA COORDENAÇÃO-GERAL DE AUTORIZAÇÕES DA SUPERINTENDÊNCIA DE SEGUROS PRIVADOS - CGAUT, no uso da competência subdelegada pelo Superintendente da Susep, por meio da Portaria nº 8.186, de 21 de julho de 2023, tendo em vista o disposto no inciso I do artigo 36 do Decreto-Lei nº 73, de 21 de novembro de 1966, com base no inciso I do artigo 5º da Resolução CNSP nº 422, de 11 de novembro de 2021, e o que consta do processo Susep nº 15414.618801/2026-89, resolve:</w:t>
      </w:r>
    </w:p>
    <w:p>
      <w:r>
        <w:t>Art. 1º Fica homologada a reforma e consolidação do estatuto social de ALLIANZ SEGUROS S.A., CNPJ nº 61.573.796/0001-66, com sede na cidade de São Paulo - SP, conforme deliberado na assembleia geral extraordinária realizada em 9 de março de 2026.</w:t>
      </w:r>
    </w:p>
    <w:p>
      <w:r>
        <w:t>Art. 2º Esta portaria entra em vigor na data de sua publicação.</w:t>
      </w:r>
    </w:p>
    <w:p>
      <w:r>
        <w:t>MAUREL ALEXIS WEICHERT</w:t>
      </w:r>
    </w:p>
    <w:p>
      <w:r>
        <w:br w:type="page"/>
      </w:r>
    </w:p>
    <w:p>
      <w:pPr>
        <w:pStyle w:val="Heading2"/>
      </w:pPr>
      <w:r>
        <w:t>PORTARIA CGAUT/SUSEP nº 1, de 30 de JULHO de 2026</w:t>
      </w:r>
    </w:p>
    <w:p>
      <w:r>
        <w:t>Categoria: Ministério da Fazenda/Superintendência de Seguros Privados/Diretoria de Organização de Mercado e Regulação de Conduta/Coordenação-Geral de Autorizações</w:t>
      </w:r>
    </w:p>
    <w:p>
      <w:r>
        <w:t>Página: 60</w:t>
      </w:r>
    </w:p>
    <w:p/>
    <w:p>
      <w:r>
        <w:t>PORTARIA CGAUT/SUSEP nº 1, de 30 de JULHO de 2026</w:t>
      </w:r>
    </w:p>
    <w:p>
      <w:r>
        <w:t>O COORDENADOR-GERAL DA COORDENAÇÃO-GERAL DE AUTORIZAÇÕES DA SUPERINTENDÊNCIA DE SEGUROS PRIVADOS - CGAUT, no uso da competência delegada pelo Superintendente da Susep, por meio da Portaria nº 8.186, de 21 de julho de 2023, tendo em vista o disposto no artigo I do artigo 36 do Decreto-Lei nº 73, de 21 de novembro de 1966, combinado com o artigo 5º da Lei Complementar nº 126, de 15 de janeiro de 2007, com base no inciso V do artigo 5º da Resolução CNSP nº 422, de 11 de novembro de 2021, e o que consta do processo Susep nº 15414.626958/2026-88, resolve:</w:t>
      </w:r>
    </w:p>
    <w:p>
      <w:r>
        <w:t>Art. 1º Fica homologada a eleição de administrador de IRB-BRASIL RESSEGUROS S.A., CNPJ nº 33.376.989/0001-91, com sede na cidade do Rio de Janeiro - RJ, conforme deliberado na reunião do conselho de administração realizada em 14 de abril de 2026.</w:t>
      </w:r>
    </w:p>
    <w:p>
      <w:r>
        <w:t>Art. 2º Esta portaria entra em vigor na data de sua publicação.</w:t>
      </w:r>
    </w:p>
    <w:p>
      <w:r>
        <w:t>MAUREL ALEXIS WEICHERT</w:t>
      </w:r>
    </w:p>
    <w:p>
      <w:r>
        <w:br w:type="page"/>
      </w:r>
    </w:p>
    <w:p>
      <w:pPr>
        <w:pStyle w:val="Heading2"/>
      </w:pPr>
      <w:r>
        <w:t>Portaria Previc Nº 458, DE 19 DE junho DE 2026</w:t>
      </w:r>
    </w:p>
    <w:p>
      <w:r>
        <w:t>Categoria: Ministério da Previdência Social/Superintendência Nacional de Previdência Complementar/Diretoria de Licenciamento</w:t>
      </w:r>
    </w:p>
    <w:p>
      <w:r>
        <w:t>Página: 91</w:t>
      </w:r>
    </w:p>
    <w:p/>
    <w:p>
      <w:r>
        <w:t>Portaria Previc Nº 458, DE 19 DE junho DE 2026</w:t>
      </w:r>
    </w:p>
    <w:p>
      <w:r>
        <w:t>O DIRETOR DE LICENCIAMENTO, no uso das atribuições que lhe confere a alínea "d" do inciso I do art. 16 do Decreto nº 11.241, de 18 de outubro de 2022, e considerando as manifestações técnicas exaradas no Processo nº 44011.004604/2026-19, resolve:</w:t>
      </w:r>
    </w:p>
    <w:p>
      <w:r>
        <w:t>Art. 1º Aprovar a alteração do convênio de adesão celebrado entre a Dow Brasil Indústria e Comércio de Produtos Químicos Ltda., CNPJ nº 60.435.351.0001-57, na condição de patrocinadora do Plano de Contribuição Definida Prevdow, CNPB nº 1990.0010-92, e a PREVDOW - Sociedade de Previdência Privada, CNPJ nº 62.282.017/0001-36, na condição de entidade fechada de previdência complementar responsável pela administração do referido plano.</w:t>
      </w:r>
    </w:p>
    <w:p>
      <w:r>
        <w:t>Art. 2º Esta Portaria entra em vigor na data de sua publicação.</w:t>
      </w:r>
    </w:p>
    <w:p>
      <w:r>
        <w:t>GUILHERME CAPRIATA VACCARO CAMPELO BEZERRA</w:t>
      </w:r>
    </w:p>
    <w:p>
      <w:r>
        <w:br w:type="page"/>
      </w:r>
    </w:p>
    <w:p>
      <w:pPr>
        <w:pStyle w:val="Heading2"/>
      </w:pPr>
      <w:r>
        <w:t>Portaria Previc Nº 485, DE 27 DE junho DE 2026</w:t>
      </w:r>
    </w:p>
    <w:p>
      <w:r>
        <w:t>Categoria: Ministério da Previdência Social/Superintendência Nacional de Previdência Complementar/Diretoria de Licenciamento</w:t>
      </w:r>
    </w:p>
    <w:p>
      <w:r>
        <w:t>Página: 92</w:t>
      </w:r>
    </w:p>
    <w:p/>
    <w:p>
      <w:r>
        <w:t>Portaria Previc Nº 485, DE 27 DE junho DE 2026</w:t>
      </w:r>
    </w:p>
    <w:p>
      <w:r>
        <w:t>O DIRETOR DE LICENCIAMENTO, no uso das atribuições que lhe confere a alínea "d" do inciso I do art. 16 do Decreto nº 11.241, de 18 de outubro de 2022, e considerando as manifestações técnicas exaradas no Processo nº 44011.002800/2026-59, resolve:</w:t>
      </w:r>
    </w:p>
    <w:p>
      <w:r>
        <w:t>Art. 1º Aprovar o convênio de adesão celebrado entre a empresa Monte Rodovias S.A., CNPJ nº 7.702.340/0001-74, na condição de patrocinadora do Plano VEXTY, CNPB nº 1994.0040-29, e a VEXTY, CNPJ nº 00.571.135/0001-07, na condição de entidade fechada de previdência complementar responsável pela administração do referido plano.</w:t>
      </w:r>
    </w:p>
    <w:p>
      <w:r>
        <w:t>Art. 2º Estabelecer o prazo de até 180 (cento e oitenta) dias para o início da operacionalização do convênio de adesão, contados a partir da data de publicação desta Portaria, sob pena de cancelamento da autorização concedida.</w:t>
      </w:r>
    </w:p>
    <w:p>
      <w:r>
        <w:t>Art. 3º Esta Portaria entra em vigor na data de sua publicação.</w:t>
      </w:r>
    </w:p>
    <w:p>
      <w:r>
        <w:t>GUILHERME CAPRIATA VACCARO CAMPELO BEZERRA</w:t>
      </w:r>
    </w:p>
    <w:p>
      <w:r>
        <w:br w:type="page"/>
      </w:r>
    </w:p>
    <w:p>
      <w:pPr>
        <w:pStyle w:val="Heading2"/>
      </w:pPr>
      <w:r>
        <w:t>INSTRUÇÃO NORMATIVA BCB Nº 752, DE 1º DE JULHO de 2026</w:t>
      </w:r>
    </w:p>
    <w:p>
      <w:pPr>
        <w:pStyle w:val="ListBullet"/>
      </w:pPr>
      <w:r>
        <w:t>Ementa: Divulga a versão 8.4 do Manual Operacional do Diretório de Identificadores de Contas Transacionais (DICT), que compõe o Regulamento do Pix.</w:t>
      </w:r>
    </w:p>
    <w:p>
      <w:r>
        <w:t>Categoria: Banco Central do Brasil/Área de Organização do Sistema Financeiro e de Resolução/Departamento de Competição e de Estrutura do Mercado Financeiro</w:t>
      </w:r>
    </w:p>
    <w:p>
      <w:r>
        <w:t>Página: 115</w:t>
      </w:r>
    </w:p>
    <w:p/>
    <w:p>
      <w:r>
        <w:t>INSTRUÇÃO NORMATIVA BCB Nº 752, DE 1º DE JULHO de 2026</w:t>
      </w:r>
    </w:p>
    <w:p>
      <w:r>
        <w:t>Divulga a versão 8.4 do Manual Operacional do Diretório de Identificadores de Contas Transacionais (DICT), que compõe o Regulamento do Pix.</w:t>
      </w:r>
    </w:p>
    <w:p>
      <w:r>
        <w:t>O Chefe do Departamento de Competição e de Estrutura do Mercado Financeiro (Decem), no uso das atribuições que lhe conferem os arts. 23, inciso I, alínea "a", e 94, inciso IX, do Regimento Interno do Banco Central do Brasil, anexo à Resolução BCB nº 340, de 21 de setembro de 2023, e tendo em vista o disposto no art. 2º, inciso X, do Regulamento anexo à Resolução BCB nº 1, de 12 de agosto de 2020, resolve:</w:t>
      </w:r>
    </w:p>
    <w:p>
      <w:r>
        <w:t>Art. 1º Esta Instrução Normativa divulga a versão 8.4 do Manual Operacional do Diretório de Identificadores de Contas Transacionais (DICT), que compõe o Regulamento do Pix, conforme art. 2º do Regulamento anexo à Resolução BCB nº 1, de 12 de agosto de 2020.</w:t>
      </w:r>
    </w:p>
    <w:p>
      <w:r>
        <w:t>Parágrafo único. O Manual Operacional do DICT está disponível no endereço eletrônico do Banco Central do Brasil na internet: https://www.bcb.gov.br/content/estabilidadefinanceira/pix/Regulamento_Pix/X_ManualOperacionaldoDICT.pdf</w:t>
      </w:r>
    </w:p>
    <w:p>
      <w:r>
        <w:t>Art. 2º Fica revogada a Instrução Normativa BCB nº 742, de 09 de junho de 2026.</w:t>
      </w:r>
    </w:p>
    <w:p>
      <w:r>
        <w:t>Art. 3º Esta Instrução Normativa entra em vigor na data de sua publicação.</w:t>
      </w:r>
    </w:p>
    <w:p>
      <w:r>
        <w:t>RICARDO TEIXEIRA LEITE MOURÃO</w:t>
      </w:r>
    </w:p>
    <w:p>
      <w:r>
        <w:t>ANEXO</w:t>
      </w:r>
    </w:p>
    <w:p>
      <w:r>
        <w:t>Manual Operacional do Diretório de Identificadores de Contas Transacionais (DICT)</w:t>
      </w:r>
    </w:p>
    <w:p>
      <w:r>
        <w:t>Histórico de revisão</w:t>
      </w:r>
    </w:p>
    <w:tbl>
      <w:tblPr>
        <w:tblW w:type="auto" w:w="0"/>
        <w:tblLook w:firstColumn="1" w:firstRow="1" w:lastColumn="0" w:lastRow="0" w:noHBand="0" w:noVBand="1" w:val="04A0"/>
      </w:tblPr>
      <w:tblGrid>
        <w:gridCol w:w="2880"/>
        <w:gridCol w:w="2880"/>
        <w:gridCol w:w="2880"/>
      </w:tblGrid>
      <w:tr>
        <w:tc>
          <w:tcPr>
            <w:tcW w:type="dxa" w:w="2880"/>
          </w:tcPr>
          <w:p/>
        </w:tc>
        <w:tc>
          <w:tcPr>
            <w:tcW w:type="dxa" w:w="2880"/>
          </w:tcPr>
          <w:p/>
        </w:tc>
        <w:tc>
          <w:tcPr>
            <w:tcW w:type="dxa" w:w="2880"/>
          </w:tcPr>
          <w:p/>
        </w:tc>
      </w:tr>
      <w:tr>
        <w:tc>
          <w:tcPr>
            <w:tcW w:type="dxa" w:w="2880"/>
          </w:tcPr>
          <w:p>
            <w:r>
              <w:t>Data</w:t>
            </w:r>
          </w:p>
        </w:tc>
        <w:tc>
          <w:tcPr>
            <w:tcW w:type="dxa" w:w="2880"/>
          </w:tcPr>
          <w:p>
            <w:r>
              <w:t>Versão</w:t>
            </w:r>
          </w:p>
        </w:tc>
        <w:tc>
          <w:tcPr>
            <w:tcW w:type="dxa" w:w="2880"/>
          </w:tcPr>
          <w:p>
            <w:r>
              <w:t>Descrição das alterações</w:t>
            </w:r>
          </w:p>
        </w:tc>
      </w:tr>
      <w:tr>
        <w:tc>
          <w:tcPr>
            <w:tcW w:type="dxa" w:w="2880"/>
          </w:tcPr>
          <w:p>
            <w:r>
              <w:t>11/8/2020</w:t>
            </w:r>
          </w:p>
        </w:tc>
        <w:tc>
          <w:tcPr>
            <w:tcW w:type="dxa" w:w="2880"/>
          </w:tcPr>
          <w:p>
            <w:r>
              <w:t>1.0</w:t>
            </w:r>
          </w:p>
        </w:tc>
        <w:tc>
          <w:tcPr>
            <w:tcW w:type="dxa" w:w="2880"/>
          </w:tcPr>
          <w:p>
            <w:r/>
          </w:p>
        </w:tc>
      </w:tr>
      <w:tr>
        <w:tc>
          <w:tcPr>
            <w:tcW w:type="dxa" w:w="2880"/>
          </w:tcPr>
          <w:p>
            <w:r>
              <w:t>10/9/2020</w:t>
            </w:r>
          </w:p>
        </w:tc>
        <w:tc>
          <w:tcPr>
            <w:tcW w:type="dxa" w:w="2880"/>
          </w:tcPr>
          <w:p>
            <w:r>
              <w:t>1.1</w:t>
            </w:r>
          </w:p>
        </w:tc>
        <w:tc>
          <w:tcPr>
            <w:tcW w:type="dxa" w:w="2880"/>
          </w:tcPr>
          <w:p>
            <w:r>
              <w:t>Seção 6: Ajustes na redação do fluxo de reivindicação, para deixar mais claro seu funcionamento: · caso o usuário doador não se manifeste dentro do período de resolução, o PSP doador deve necessariamente confirmar a reivindicação no DICT; · no período de encerramento, o usuário doador pode somente validar a posse da chave, cancelando o processo. A confirmação não é possível durante esse período; e</w:t>
            </w:r>
          </w:p>
        </w:tc>
      </w:tr>
      <w:tr>
        <w:tc>
          <w:tcPr>
            <w:tcW w:type="dxa" w:w="2880"/>
          </w:tcPr>
          <w:p>
            <w:r/>
          </w:p>
        </w:tc>
        <w:tc>
          <w:tcPr>
            <w:tcW w:type="dxa" w:w="2880"/>
          </w:tcPr>
          <w:p>
            <w:r/>
          </w:p>
        </w:tc>
        <w:tc>
          <w:tcPr>
            <w:tcW w:type="dxa" w:w="2880"/>
          </w:tcPr>
          <w:p>
            <w:r>
              <w:t>· previsão de que o PSP reivindicador deve cancelar o processo de reivindicação no DICT caso seu usuário não faça a validação ativa da chave até o trigésimo dia após o início do processo de reivindicação. Seção 6.1: ajustes nas etapas 5 e 7, para deixar a redação mais clara e para incorporar os ajustes feitos ne seção 6. Seção 6.2: ajustes nas etapas 7, 11, 12 e 13, para deixar a redação mais clara e para incorporar os ajustes feitos ne seção 6.</w:t>
            </w:r>
          </w:p>
        </w:tc>
      </w:tr>
      <w:tr>
        <w:tc>
          <w:tcPr>
            <w:tcW w:type="dxa" w:w="2880"/>
          </w:tcPr>
          <w:p>
            <w:r/>
          </w:p>
        </w:tc>
        <w:tc>
          <w:tcPr>
            <w:tcW w:type="dxa" w:w="2880"/>
          </w:tcPr>
          <w:p>
            <w:r/>
          </w:p>
        </w:tc>
        <w:tc>
          <w:tcPr>
            <w:tcW w:type="dxa" w:w="2880"/>
          </w:tcPr>
          <w:p>
            <w:r>
              <w:t>Seção 6.3: · ajuste no fluxo; e · ajustes nas etapas 4, 12, 14, 15, 16, 17, 19 e 20, para deixar a redação mais clara e para incorporar os ajustes feitos ne seção 6.</w:t>
            </w:r>
          </w:p>
        </w:tc>
      </w:tr>
      <w:tr>
        <w:tc>
          <w:tcPr>
            <w:tcW w:type="dxa" w:w="2880"/>
          </w:tcPr>
          <w:p>
            <w:r/>
          </w:p>
        </w:tc>
        <w:tc>
          <w:tcPr>
            <w:tcW w:type="dxa" w:w="2880"/>
          </w:tcPr>
          <w:p>
            <w:r/>
          </w:p>
        </w:tc>
        <w:tc>
          <w:tcPr>
            <w:tcW w:type="dxa" w:w="2880"/>
          </w:tcPr>
          <w:p>
            <w:r>
              <w:t>Seção 6.4: · ajuste no fluxo; e · ajustes nas etapas 6, 16, 18, 20, 21, 22, 23, 27 e 28, para deixar a redação mais clara e para incorporar os ajustes feitos ne seção 6.</w:t>
            </w:r>
          </w:p>
        </w:tc>
      </w:tr>
      <w:tr>
        <w:tc>
          <w:tcPr>
            <w:tcW w:type="dxa" w:w="2880"/>
          </w:tcPr>
          <w:p>
            <w:r/>
          </w:p>
        </w:tc>
        <w:tc>
          <w:tcPr>
            <w:tcW w:type="dxa" w:w="2880"/>
          </w:tcPr>
          <w:p>
            <w:r/>
          </w:p>
        </w:tc>
        <w:tc>
          <w:tcPr>
            <w:tcW w:type="dxa" w:w="2880"/>
          </w:tcPr>
          <w:p>
            <w:r>
              <w:t>Seção 9: ajuste para deixar claro que a verificação de sincronismo não precisa ser realizada diariamente. Ela precisa ser realizada em intervalos máximos de 36 horas, conforme Manual de Tempos do Pix. Seção 10: ajuste para prever que a notificação de infração pode ser cancelada a qualquer tempo. Seção 10.1: ajuste na nomenclatura das mensagens enviadas para o DICT. Seção 10.2: ajuste na nomenclatura das mensagens enviadas para o DICT.</w:t>
            </w:r>
          </w:p>
        </w:tc>
      </w:tr>
      <w:tr>
        <w:tc>
          <w:tcPr>
            <w:tcW w:type="dxa" w:w="2880"/>
          </w:tcPr>
          <w:p>
            <w:r>
              <w:t>13/11/2020</w:t>
            </w:r>
          </w:p>
        </w:tc>
        <w:tc>
          <w:tcPr>
            <w:tcW w:type="dxa" w:w="2880"/>
          </w:tcPr>
          <w:p>
            <w:r>
              <w:t>2.0</w:t>
            </w:r>
          </w:p>
        </w:tc>
        <w:tc>
          <w:tcPr>
            <w:tcW w:type="dxa" w:w="2880"/>
          </w:tcPr>
          <w:p>
            <w:r>
              <w:t>Estrutura: inserção da seção 15 "Limitação de requisições à API do DICT". Seção 5: inserção de nota de rodapé para explicitar que é possível atualizar dados da conta vinculados à chave enquanto o status da requisição de portabilidade estiver "Aberto" ou "Aguardando Resolução". Seção 6: inserção de nota de rodapé para explicitar que é possível atualizar dados da conta vinculados à chave enquanto o status da requisição de reivindicação de posse estiver "Aberto" ou "Aguardando Resolução".</w:t>
            </w:r>
          </w:p>
        </w:tc>
      </w:tr>
      <w:tr>
        <w:tc>
          <w:tcPr>
            <w:tcW w:type="dxa" w:w="2880"/>
          </w:tcPr>
          <w:p>
            <w:r/>
          </w:p>
        </w:tc>
        <w:tc>
          <w:tcPr>
            <w:tcW w:type="dxa" w:w="2880"/>
          </w:tcPr>
          <w:p>
            <w:r/>
          </w:p>
        </w:tc>
        <w:tc>
          <w:tcPr>
            <w:tcW w:type="dxa" w:w="2880"/>
          </w:tcPr>
          <w:p>
            <w:r>
              <w:t>Seção 9: inserção de texto para detalhar como deve ser o processo de correção de chave divergente após uma verificação de sincronismo. Seção 10: retirada do campo "Motivo" no processo de abertura de uma notificação de infração. Seção 14: retirada das informações, que o DICT armazena, relativas a transações com suspeita de infração à regulação de prevenção à lavagem de dinheiro e ao financiamento do terrorismo.</w:t>
            </w:r>
          </w:p>
        </w:tc>
      </w:tr>
      <w:tr>
        <w:tc>
          <w:tcPr>
            <w:tcW w:type="dxa" w:w="2880"/>
          </w:tcPr>
          <w:p>
            <w:r>
              <w:t>17/11/2020</w:t>
            </w:r>
          </w:p>
        </w:tc>
        <w:tc>
          <w:tcPr>
            <w:tcW w:type="dxa" w:w="2880"/>
          </w:tcPr>
          <w:p>
            <w:r>
              <w:t>2.1</w:t>
            </w:r>
          </w:p>
        </w:tc>
        <w:tc>
          <w:tcPr>
            <w:tcW w:type="dxa" w:w="2880"/>
          </w:tcPr>
          <w:p>
            <w:r>
              <w:t>Seção 9: orientação para que eventuais divergências encontradas entre a base interna e o DICT, após processo de verificação de sincronismo, sejam corrigidas na base interna.</w:t>
            </w:r>
          </w:p>
        </w:tc>
      </w:tr>
      <w:tr>
        <w:tc>
          <w:tcPr>
            <w:tcW w:type="dxa" w:w="2880"/>
          </w:tcPr>
          <w:p>
            <w:r>
              <w:t>18/3/2021</w:t>
            </w:r>
          </w:p>
        </w:tc>
        <w:tc>
          <w:tcPr>
            <w:tcW w:type="dxa" w:w="2880"/>
          </w:tcPr>
          <w:p>
            <w:r>
              <w:t>3.0</w:t>
            </w:r>
          </w:p>
        </w:tc>
        <w:tc>
          <w:tcPr>
            <w:tcW w:type="dxa" w:w="2880"/>
          </w:tcPr>
          <w:p>
            <w:r>
              <w:t>Estrutura: inserção das seções 16 "Fluxo de verificação de chaves Pix registradas" e 17 "Cache de existência de chave Pix". Seção 7.1: ajuste no fluxo e na tabela de passo a passo, para prever possibilidade de alteração do nome do usuário vinculado à chave Pix. Seção 7.2: ajuste no fluxo e na tabela de passo a passo, para prever possibilidade de alteração do nome do usuário vinculado à chave Pix. Seção 15: ajuste de forma e de texto na tabela que detalha a política de rate limit, com a inclusão dos limites para o keys.read.</w:t>
            </w:r>
          </w:p>
        </w:tc>
      </w:tr>
      <w:tr>
        <w:tc>
          <w:tcPr>
            <w:tcW w:type="dxa" w:w="2880"/>
          </w:tcPr>
          <w:p>
            <w:r>
              <w:t>8/6/2021</w:t>
            </w:r>
          </w:p>
        </w:tc>
        <w:tc>
          <w:tcPr>
            <w:tcW w:type="dxa" w:w="2880"/>
          </w:tcPr>
          <w:p>
            <w:r>
              <w:t>4.0</w:t>
            </w:r>
          </w:p>
        </w:tc>
        <w:tc>
          <w:tcPr>
            <w:tcW w:type="dxa" w:w="2880"/>
          </w:tcPr>
          <w:p>
            <w:r>
              <w:t>Estrutura: inserção da seção 18 "Fluxo de solicitação de devolução". Estrutura: inserção das subseções 10.3 "Fluxo de notificação de infração para abertura de solicitação de devolução (participantes do Pix com acesso direto ao DICT)" e 10.4 "Fluxo de notificação de infração para abertura de solicitação de devolução (participantes do Pix com acesso indireto ao DICT)". Seção 5: previsão de possibilidade de cancelamento de uma portabilidade com status "Confirmado" pelo PSP reivindicador.</w:t>
            </w:r>
          </w:p>
        </w:tc>
      </w:tr>
      <w:tr>
        <w:tc>
          <w:tcPr>
            <w:tcW w:type="dxa" w:w="2880"/>
          </w:tcPr>
          <w:p>
            <w:r/>
          </w:p>
        </w:tc>
        <w:tc>
          <w:tcPr>
            <w:tcW w:type="dxa" w:w="2880"/>
          </w:tcPr>
          <w:p>
            <w:r/>
          </w:p>
        </w:tc>
        <w:tc>
          <w:tcPr>
            <w:tcW w:type="dxa" w:w="2880"/>
          </w:tcPr>
          <w:p>
            <w:r>
              <w:t>Seção 10: inserção do campo "Motivo" e detalhamento dos campos na abertura de uma notificação de infração; detalhamento dos campos no fechamento de uma notificação de infração; e detalhamento do funcionamento do fluxo de notificação de infração para abertura de solicitação de devolução. Seção 10.1: alteração do nome da seção para "Fluxo de notificação de infração entre participantes do Pix com acesso direto ao DICT, por motivo 'fraude'".</w:t>
            </w:r>
          </w:p>
        </w:tc>
      </w:tr>
      <w:tr>
        <w:tc>
          <w:tcPr>
            <w:tcW w:type="dxa" w:w="2880"/>
          </w:tcPr>
          <w:p>
            <w:r/>
          </w:p>
        </w:tc>
        <w:tc>
          <w:tcPr>
            <w:tcW w:type="dxa" w:w="2880"/>
          </w:tcPr>
          <w:p>
            <w:r/>
          </w:p>
        </w:tc>
        <w:tc>
          <w:tcPr>
            <w:tcW w:type="dxa" w:w="2880"/>
          </w:tcPr>
          <w:p>
            <w:r>
              <w:t>Seção 10.1: prazo máximo para abertura de notificação de infração passa a ser oitenta dias corridos (etapa 2). Seção 10.1: prazo máximo para análise de uma notificação de infração passa a ser sete dias (etapa 7). Seção 10.2: alteração do nome da seção para "Fluxo de notificação de infração entre participantes do Pix com acesso indireto ao DICT, por motivo 'fraude'". Seção 10.2: prazo máximo para abertura de notificação de infração passa a ser oitenta dias corridos (etapa 2).</w:t>
            </w:r>
          </w:p>
        </w:tc>
      </w:tr>
      <w:tr>
        <w:tc>
          <w:tcPr>
            <w:tcW w:type="dxa" w:w="2880"/>
          </w:tcPr>
          <w:p>
            <w:r/>
          </w:p>
        </w:tc>
        <w:tc>
          <w:tcPr>
            <w:tcW w:type="dxa" w:w="2880"/>
          </w:tcPr>
          <w:p>
            <w:r/>
          </w:p>
        </w:tc>
        <w:tc>
          <w:tcPr>
            <w:tcW w:type="dxa" w:w="2880"/>
          </w:tcPr>
          <w:p>
            <w:r>
              <w:t>Seção 10.2: prazo máximo para análise de uma notificação de infração passa a ser sete dias (etapa 14). Seção 13: tamanho máximo do balde do usuário final passa a ser 1.000 fichas, com incremento temporal de 2 fichas a cada minuto; tamanho máximo do balde do participante passa a ser 20.000 fichas, com incremento temporal de 6.000 fichas a cada minuto; e inserção de texto para dar flexibilidade ao Banco Central do Brasil na gestão dos baldes. Seção 15: ajustes na tabela com os limites de requisições à API do DICT.</w:t>
            </w:r>
          </w:p>
        </w:tc>
      </w:tr>
      <w:tr>
        <w:tc>
          <w:tcPr>
            <w:tcW w:type="dxa" w:w="2880"/>
          </w:tcPr>
          <w:p>
            <w:r>
              <w:t>29/6/2021</w:t>
            </w:r>
          </w:p>
        </w:tc>
        <w:tc>
          <w:tcPr>
            <w:tcW w:type="dxa" w:w="2880"/>
          </w:tcPr>
          <w:p>
            <w:r>
              <w:t>4.1</w:t>
            </w:r>
          </w:p>
        </w:tc>
        <w:tc>
          <w:tcPr>
            <w:tcW w:type="dxa" w:w="2880"/>
          </w:tcPr>
          <w:p>
            <w:r>
              <w:t>Seção 15: incorporação de novos limites de requisição à API do DICT.</w:t>
            </w:r>
          </w:p>
        </w:tc>
      </w:tr>
      <w:tr>
        <w:tc>
          <w:tcPr>
            <w:tcW w:type="dxa" w:w="2880"/>
          </w:tcPr>
          <w:p>
            <w:r>
              <w:t>22/7/2021</w:t>
            </w:r>
          </w:p>
        </w:tc>
        <w:tc>
          <w:tcPr>
            <w:tcW w:type="dxa" w:w="2880"/>
          </w:tcPr>
          <w:p>
            <w:r>
              <w:t>4.2</w:t>
            </w:r>
          </w:p>
        </w:tc>
        <w:tc>
          <w:tcPr>
            <w:tcW w:type="dxa" w:w="2880"/>
          </w:tcPr>
          <w:p>
            <w:r>
              <w:t>Estrutura: inserção das subseções 8.3 "Fluxo de consulta para o participante do Pix que atua como prestador de serviço de iniciação de transação de pagamento, com acesso direto ao DICT" e 8.4 "Fluxo de consulta para o participante do Pix que atua como prestador de serviço de iniciação de transação de pagamento, com acesso indireto ao DICT". Seção 10: inclusão das notas de rodapé 6 e 7, para deixar clara a data a partir da qual os prazos relacionados à notificação de infração começarão a valer.</w:t>
            </w:r>
          </w:p>
        </w:tc>
      </w:tr>
      <w:tr>
        <w:tc>
          <w:tcPr>
            <w:tcW w:type="dxa" w:w="2880"/>
          </w:tcPr>
          <w:p>
            <w:r/>
          </w:p>
        </w:tc>
        <w:tc>
          <w:tcPr>
            <w:tcW w:type="dxa" w:w="2880"/>
          </w:tcPr>
          <w:p>
            <w:r/>
          </w:p>
        </w:tc>
        <w:tc>
          <w:tcPr>
            <w:tcW w:type="dxa" w:w="2880"/>
          </w:tcPr>
          <w:p>
            <w:r>
              <w:t>Seção 13: inserção dos mecanismos de prevenção a ataques de leitura para os participantes que prestem serviço de iniciação de transação de pagamento. Seção 15: inclusão da nota de rodapé 10, para deixar claro que os mesmos limites para a verificação de chaves Pix registradas são aplicáveis aos participantes iniciadores.</w:t>
            </w:r>
          </w:p>
        </w:tc>
      </w:tr>
      <w:tr>
        <w:tc>
          <w:tcPr>
            <w:tcW w:type="dxa" w:w="2880"/>
          </w:tcPr>
          <w:p>
            <w:r>
              <w:t>24/8/2021</w:t>
            </w:r>
          </w:p>
        </w:tc>
        <w:tc>
          <w:tcPr>
            <w:tcW w:type="dxa" w:w="2880"/>
          </w:tcPr>
          <w:p>
            <w:r>
              <w:t>4.3</w:t>
            </w:r>
          </w:p>
        </w:tc>
        <w:tc>
          <w:tcPr>
            <w:tcW w:type="dxa" w:w="2880"/>
          </w:tcPr>
          <w:p>
            <w:r>
              <w:t>Seção 10: inserção de nota de rodapé para deixar claro que a notificação de infração para abertura de solicitação de devolução estará disponível somente a partir de 16 de novembro de 2021, nos termos da Resolução BCB nº 103. Seção 13: ajustes nos mecanismos de prevenção a ataques de leitura do DICT. As consultas sem liquidação para todos os tipos de chave passam a consumir fichas nos baldes, tanto para os usuários finais quanto para os participantes. Para isso, foi criado um novo balde, com 1.000 fichas, para as chaves CPF, CNPJ e aleatória para os usuários finais; e foi aumentado o incremento temporal de fichas para os participantes.</w:t>
            </w:r>
          </w:p>
        </w:tc>
      </w:tr>
      <w:tr>
        <w:tc>
          <w:tcPr>
            <w:tcW w:type="dxa" w:w="2880"/>
          </w:tcPr>
          <w:p>
            <w:r/>
          </w:p>
        </w:tc>
        <w:tc>
          <w:tcPr>
            <w:tcW w:type="dxa" w:w="2880"/>
          </w:tcPr>
          <w:p>
            <w:r/>
          </w:p>
        </w:tc>
        <w:tc>
          <w:tcPr>
            <w:tcW w:type="dxa" w:w="2880"/>
          </w:tcPr>
          <w:p>
            <w:r>
              <w:t>Seção 13: inserção de nota de rodapé para explicar as novas regras de formação do campo PayerId. Seção 15: criação de um balde específico para o endpoint updateEntry. Com isso, o balde do createEntry e do deleteEntry foi diminuído. Seção 18: ajuste em nota de rodapé, para deixar claro que a solicitação de devolução estará disponível somente a partir de 16 de novembro de 2021, nos termos da Resolução BCB nº 103.</w:t>
            </w:r>
          </w:p>
        </w:tc>
      </w:tr>
      <w:tr>
        <w:tc>
          <w:tcPr>
            <w:tcW w:type="dxa" w:w="2880"/>
          </w:tcPr>
          <w:p>
            <w:r>
              <w:t>21/9/2021</w:t>
            </w:r>
          </w:p>
        </w:tc>
        <w:tc>
          <w:tcPr>
            <w:tcW w:type="dxa" w:w="2880"/>
          </w:tcPr>
          <w:p>
            <w:r>
              <w:t>4.4</w:t>
            </w:r>
          </w:p>
        </w:tc>
        <w:tc>
          <w:tcPr>
            <w:tcW w:type="dxa" w:w="2880"/>
          </w:tcPr>
          <w:p>
            <w:r>
              <w:t>Seção 10: inserção de texto para deixar mais claro o funcionamento da funcionalidade. Seção 10.3: inserção de notas de rodapé para deixar claro os casos em que o Mecanismo Especial de Devolução não pode ser acionado. Seção 10.4: inserção de notas de rodapé para deixar claro os casos em que o Mecanismo Especial de Devolução não pode ser acionado.</w:t>
            </w:r>
          </w:p>
        </w:tc>
      </w:tr>
      <w:tr>
        <w:tc>
          <w:tcPr>
            <w:tcW w:type="dxa" w:w="2880"/>
          </w:tcPr>
          <w:p>
            <w:r/>
          </w:p>
        </w:tc>
        <w:tc>
          <w:tcPr>
            <w:tcW w:type="dxa" w:w="2880"/>
          </w:tcPr>
          <w:p>
            <w:r/>
          </w:p>
        </w:tc>
        <w:tc>
          <w:tcPr>
            <w:tcW w:type="dxa" w:w="2880"/>
          </w:tcPr>
          <w:p>
            <w:r>
              <w:t>Seção 13: ajustes nos mecanismos de prevenção a ataques de leitura do DICT. Separação de baldes de consultas de usuários PF e PJ, com definição de parâmetros diferenciados, através da identificação do tipo de pessoa pelo campo PayerID. Além disso, os baldes de consultas de participantes passam a ter categorias com parâmetros diferenciados de tamanho e incremento, de forma a se adequar às necessidades de cada participante. Seção 13: ajuste na nota de rodapé 13, para deixar claro o formato a ser usado no campo PayerId.</w:t>
            </w:r>
          </w:p>
        </w:tc>
      </w:tr>
      <w:tr>
        <w:tc>
          <w:tcPr>
            <w:tcW w:type="dxa" w:w="2880"/>
          </w:tcPr>
          <w:p>
            <w:r/>
          </w:p>
        </w:tc>
        <w:tc>
          <w:tcPr>
            <w:tcW w:type="dxa" w:w="2880"/>
          </w:tcPr>
          <w:p>
            <w:r/>
          </w:p>
        </w:tc>
        <w:tc>
          <w:tcPr>
            <w:tcW w:type="dxa" w:w="2880"/>
          </w:tcPr>
          <w:p>
            <w:r>
              <w:t>Seção 15: remoção da política geral entries.read e inclusão de nota de rodapé, para explicar que essa política está sendo tratada com mais detalhes na seção 13. Além disso, os parâmetros da política update.entries foram reduzidos. Seção 18: inserção de texto para deixar mais claro o funcionamento da funcionalidade. Seção 18.2: ajuste na etapa 15, para deixar o texto mais claro. Seção 18.3: ajuste no fluxo, para consertar a etapa 4, que estava identificando um estado de forma equivocada.</w:t>
            </w:r>
          </w:p>
        </w:tc>
      </w:tr>
      <w:tr>
        <w:tc>
          <w:tcPr>
            <w:tcW w:type="dxa" w:w="2880"/>
          </w:tcPr>
          <w:p>
            <w:r/>
          </w:p>
        </w:tc>
        <w:tc>
          <w:tcPr>
            <w:tcW w:type="dxa" w:w="2880"/>
          </w:tcPr>
          <w:p>
            <w:r/>
          </w:p>
        </w:tc>
        <w:tc>
          <w:tcPr>
            <w:tcW w:type="dxa" w:w="2880"/>
          </w:tcPr>
          <w:p>
            <w:r>
              <w:t>Seção 18.4: ajuste no fluxo, para consertar a etapa 6, que estava identificando um estado de forma equivocada. Seção 18.5: inserção de notas de rodapé, para deixar mais claro o funcionamento da funcionalidade.</w:t>
            </w:r>
          </w:p>
        </w:tc>
      </w:tr>
      <w:tr>
        <w:tc>
          <w:tcPr>
            <w:tcW w:type="dxa" w:w="2880"/>
          </w:tcPr>
          <w:p>
            <w:r>
              <w:t>3/11/2021</w:t>
            </w:r>
          </w:p>
        </w:tc>
        <w:tc>
          <w:tcPr>
            <w:tcW w:type="dxa" w:w="2880"/>
          </w:tcPr>
          <w:p>
            <w:r>
              <w:t>5.0</w:t>
            </w:r>
          </w:p>
        </w:tc>
        <w:tc>
          <w:tcPr>
            <w:tcW w:type="dxa" w:w="2880"/>
          </w:tcPr>
          <w:p>
            <w:r>
              <w:t>Estrutura: inserção da seção 19 "Consulta a informações vinculadas às chaves Pix para fins de segurança do Pix". Seção 8.1: alteração na etapa 7 do fluxo, para alterar a forma de identificação do usuário pagador na consulta (usuário pagador deve ser identificado por meio de seu CPF/CNPJ, e não mais por meio de um identificador pseudonimizado. Seção 8.1: alteração na etapa 9 do fluxo, para alterar a forma de identificação do usuário pagador na consulta (usuário pagador deve ser identificado por meio de seu CPF/CNPJ, e não mais por meio de um identificador pseudonimizado).</w:t>
            </w:r>
          </w:p>
        </w:tc>
      </w:tr>
      <w:tr>
        <w:tc>
          <w:tcPr>
            <w:tcW w:type="dxa" w:w="2880"/>
          </w:tcPr>
          <w:p>
            <w:r/>
          </w:p>
        </w:tc>
        <w:tc>
          <w:tcPr>
            <w:tcW w:type="dxa" w:w="2880"/>
          </w:tcPr>
          <w:p>
            <w:r/>
          </w:p>
        </w:tc>
        <w:tc>
          <w:tcPr>
            <w:tcW w:type="dxa" w:w="2880"/>
          </w:tcPr>
          <w:p>
            <w:r>
              <w:t>Seção 10: ajustes no texto para prever os novos campos que permitirão a notificação de infração para transações liquidadas fora do SPI e para transações rejeitadas. Seção 10.1: ajustes para explicar como deve ser a interpretação do fluxo nos casos de transações liquidadas fora do SPI e de transações rejeitadas. Seção 10.2: ajustes para explicar como deve ser a interpretação do fluxo nos casos de transações liquidadas fora do SPI e de transações rejeitadas.</w:t>
            </w:r>
          </w:p>
        </w:tc>
      </w:tr>
      <w:tr>
        <w:tc>
          <w:tcPr>
            <w:tcW w:type="dxa" w:w="2880"/>
          </w:tcPr>
          <w:p>
            <w:r/>
          </w:p>
        </w:tc>
        <w:tc>
          <w:tcPr>
            <w:tcW w:type="dxa" w:w="2880"/>
          </w:tcPr>
          <w:p>
            <w:r/>
          </w:p>
        </w:tc>
        <w:tc>
          <w:tcPr>
            <w:tcW w:type="dxa" w:w="2880"/>
          </w:tcPr>
          <w:p>
            <w:r>
              <w:t>Seção 13: alteração na forma de identificação do usuário pagador na consulta (usuário pagador deve ser identificado por meio de seu CPF/CNPJ, e não mais por meio de um identificador pseudonimizado). Seção 14: alteração nas informações para fins de segurança que são retornadas pelo DICT sempre que uma chave é consultada.</w:t>
            </w:r>
          </w:p>
        </w:tc>
      </w:tr>
      <w:tr>
        <w:tc>
          <w:tcPr>
            <w:tcW w:type="dxa" w:w="2880"/>
          </w:tcPr>
          <w:p>
            <w:r>
              <w:t>19/11/2021</w:t>
            </w:r>
          </w:p>
        </w:tc>
        <w:tc>
          <w:tcPr>
            <w:tcW w:type="dxa" w:w="2880"/>
          </w:tcPr>
          <w:p>
            <w:r>
              <w:t>5.1</w:t>
            </w:r>
          </w:p>
        </w:tc>
        <w:tc>
          <w:tcPr>
            <w:tcW w:type="dxa" w:w="2880"/>
          </w:tcPr>
          <w:p>
            <w:r>
              <w:t>Seção 14: as informações para fins de segurança referentes a 3 dias continuarão, provisoriamente, sendo apresentadas sempre que uma chave é consultada. Seção 15: inserção da limitação de requisições ao endpoint "statistics_read". Seção 18: inserção de novo domínio no campo "RefundRejectionReason".</w:t>
            </w:r>
          </w:p>
        </w:tc>
      </w:tr>
      <w:tr>
        <w:tc>
          <w:tcPr>
            <w:tcW w:type="dxa" w:w="2880"/>
          </w:tcPr>
          <w:p>
            <w:r/>
          </w:p>
        </w:tc>
        <w:tc>
          <w:tcPr>
            <w:tcW w:type="dxa" w:w="2880"/>
          </w:tcPr>
          <w:p>
            <w:r/>
          </w:p>
        </w:tc>
        <w:tc>
          <w:tcPr>
            <w:tcW w:type="dxa" w:w="2880"/>
          </w:tcPr>
          <w:p>
            <w:r>
              <w:t>Seção 19: previsão de que informações sobre transações rejeitadas que sofreram notificação de infração também serão retornadas na consulta a informações vinculadas às chaves Pix.</w:t>
            </w:r>
          </w:p>
        </w:tc>
      </w:tr>
      <w:tr>
        <w:tc>
          <w:tcPr>
            <w:tcW w:type="dxa" w:w="2880"/>
          </w:tcPr>
          <w:p>
            <w:r>
              <w:t>12/1/2022</w:t>
            </w:r>
          </w:p>
        </w:tc>
        <w:tc>
          <w:tcPr>
            <w:tcW w:type="dxa" w:w="2880"/>
          </w:tcPr>
          <w:p>
            <w:r>
              <w:t>5.2</w:t>
            </w:r>
          </w:p>
        </w:tc>
        <w:tc>
          <w:tcPr>
            <w:tcW w:type="dxa" w:w="2880"/>
          </w:tcPr>
          <w:p>
            <w:r>
              <w:t>Seção 10: ajuste no texto para prever que, em transações "INTERNAL" em que o PSP do pagador e o PSP do recebedor possuem um mesmo liquidante, quem fecha a notificação, concordando ou discordando, é a contraparte que não abriu a notificação. Seção 16.1: ajuste no fluxo e na tabela de passo a passo em decorrência da possibilidade de verificação de registro de todos os tipos de chaves Pix.</w:t>
            </w:r>
          </w:p>
        </w:tc>
      </w:tr>
      <w:tr>
        <w:tc>
          <w:tcPr>
            <w:tcW w:type="dxa" w:w="2880"/>
          </w:tcPr>
          <w:p>
            <w:r/>
          </w:p>
        </w:tc>
        <w:tc>
          <w:tcPr>
            <w:tcW w:type="dxa" w:w="2880"/>
          </w:tcPr>
          <w:p>
            <w:r/>
          </w:p>
        </w:tc>
        <w:tc>
          <w:tcPr>
            <w:tcW w:type="dxa" w:w="2880"/>
          </w:tcPr>
          <w:p>
            <w:r>
              <w:t>Seção 16.2: ajuste no fluxo e na tabela de passo a passo em decorrência da possibilidade de verificação de registro de todos os tipos de chaves Pix. Seção 17: ajustes no texto em decorrência da possibilidade de verificação de registro de todos os tipos de chaves Pix.</w:t>
            </w:r>
          </w:p>
        </w:tc>
      </w:tr>
      <w:tr>
        <w:tc>
          <w:tcPr>
            <w:tcW w:type="dxa" w:w="2880"/>
          </w:tcPr>
          <w:p>
            <w:r>
              <w:t>11/2/2022</w:t>
            </w:r>
          </w:p>
        </w:tc>
        <w:tc>
          <w:tcPr>
            <w:tcW w:type="dxa" w:w="2880"/>
          </w:tcPr>
          <w:p>
            <w:r>
              <w:t>5.3</w:t>
            </w:r>
          </w:p>
        </w:tc>
        <w:tc>
          <w:tcPr>
            <w:tcW w:type="dxa" w:w="2880"/>
          </w:tcPr>
          <w:p>
            <w:r>
              <w:t>Seção 13: alteração no modo de recomposição de fichas dos baldes de consulta do DICT, que passam a ser repostas após o recebimento da ordem de pagamento pelo SPI na PACS.008, e não mais após uma liquidação. Seção 15: inclusão da informação em nota de rodapé da quantidade máxima de 200 (duzentas) chaves passíveis de serem verificadas por cada requisição da operação checkKeys.</w:t>
            </w:r>
          </w:p>
        </w:tc>
      </w:tr>
    </w:tbl>
    <w:p/>
    <w:tbl>
      <w:tblPr>
        <w:tblW w:type="auto" w:w="0"/>
        <w:tblLook w:firstColumn="1" w:firstRow="1" w:lastColumn="0" w:lastRow="0" w:noHBand="0" w:noVBand="1" w:val="04A0"/>
      </w:tblPr>
      <w:tblGrid>
        <w:gridCol w:w="2880"/>
        <w:gridCol w:w="2880"/>
        <w:gridCol w:w="2880"/>
      </w:tblGrid>
      <w:tr>
        <w:tc>
          <w:tcPr>
            <w:tcW w:type="dxa" w:w="2880"/>
          </w:tcPr>
          <w:p/>
        </w:tc>
        <w:tc>
          <w:tcPr>
            <w:tcW w:type="dxa" w:w="2880"/>
          </w:tcPr>
          <w:p/>
        </w:tc>
        <w:tc>
          <w:tcPr>
            <w:tcW w:type="dxa" w:w="2880"/>
          </w:tcPr>
          <w:p/>
        </w:tc>
      </w:tr>
      <w:tr>
        <w:tc>
          <w:tcPr>
            <w:tcW w:type="dxa" w:w="2880"/>
          </w:tcPr>
          <w:p>
            <w:r>
              <w:t>1/9/2022</w:t>
            </w:r>
          </w:p>
        </w:tc>
        <w:tc>
          <w:tcPr>
            <w:tcW w:type="dxa" w:w="2880"/>
          </w:tcPr>
          <w:p>
            <w:r>
              <w:t>5.4</w:t>
            </w:r>
          </w:p>
        </w:tc>
        <w:tc>
          <w:tcPr>
            <w:tcW w:type="dxa" w:w="2880"/>
          </w:tcPr>
          <w:p>
            <w:r>
              <w:t>Seção 8.3: ajuste na etapa 5, para prever que o EndToEndId de uma transação deve ser gerado pelo prestador de serviço de iniciação. Seção 8.4: ajuste na etapa 5, para prever que o EndToEndId de uma transação deve ser gerado pelo prestador de serviço de iniciação. Seção 13: participantes que prestam serviço de iniciação devem passar a usar o mesmo endpoint para consulta de chaves que os participantes provedores de conta transacional. Como consequência, as regras de limites e de decréscimo e de acréscimo de fichas passam a ser as mesmas para todos os participantes.</w:t>
            </w:r>
          </w:p>
        </w:tc>
      </w:tr>
      <w:tr>
        <w:tc>
          <w:tcPr>
            <w:tcW w:type="dxa" w:w="2880"/>
          </w:tcPr>
          <w:p>
            <w:r/>
          </w:p>
        </w:tc>
        <w:tc>
          <w:tcPr>
            <w:tcW w:type="dxa" w:w="2880"/>
          </w:tcPr>
          <w:p>
            <w:r/>
          </w:p>
        </w:tc>
        <w:tc>
          <w:tcPr>
            <w:tcW w:type="dxa" w:w="2880"/>
          </w:tcPr>
          <w:p>
            <w:r>
              <w:t>Seção 15: aumento do incremento do balde e do tamanho máximo do balde para a transação statistics_read.</w:t>
            </w:r>
          </w:p>
        </w:tc>
      </w:tr>
      <w:tr>
        <w:tc>
          <w:tcPr>
            <w:tcW w:type="dxa" w:w="2880"/>
          </w:tcPr>
          <w:p>
            <w:r>
              <w:t>3/10/2022</w:t>
            </w:r>
          </w:p>
        </w:tc>
        <w:tc>
          <w:tcPr>
            <w:tcW w:type="dxa" w:w="2880"/>
          </w:tcPr>
          <w:p>
            <w:r>
              <w:t>6.0</w:t>
            </w:r>
          </w:p>
        </w:tc>
        <w:tc>
          <w:tcPr>
            <w:tcW w:type="dxa" w:w="2880"/>
          </w:tcPr>
          <w:p>
            <w:r>
              <w:t>Estrutura: inserção da seção 20 "Consulta de baldes". Seção 10.3: ajuste na tabela de passo a passo (passo 12), para deixar claro que não há especificação de valor a ser devolvido em uma notificação de infração. Seção 10.4: ajuste na tabela de passo a passo (passo 16), para deixar claro que não há especificação de valor a ser devolvido em uma notificação de infração.</w:t>
            </w:r>
          </w:p>
        </w:tc>
      </w:tr>
      <w:tr>
        <w:tc>
          <w:tcPr>
            <w:tcW w:type="dxa" w:w="2880"/>
          </w:tcPr>
          <w:p>
            <w:r/>
          </w:p>
        </w:tc>
        <w:tc>
          <w:tcPr>
            <w:tcW w:type="dxa" w:w="2880"/>
          </w:tcPr>
          <w:p>
            <w:r/>
          </w:p>
        </w:tc>
        <w:tc>
          <w:tcPr>
            <w:tcW w:type="dxa" w:w="2880"/>
          </w:tcPr>
          <w:p>
            <w:r>
              <w:t>Seção 13: (i) aumento de 10 para 20 no decréscimo de fichas por consulta inválida de qualquer chave, para usuários pessoa natural e pessoa jurídica; (ii) aumento de 8.000 para 12.000 e de 5.000 para 8.000 no incremento de fichas por minuto dos baldes das categorias A e B, respectivamente; e (iii) ajuste no tamanho máximo do balde para usuários finais pessoa natural e pessoa jurídica. Seção 15: (i) alteração no nome da política de rate limit de keys.read para keys.check; e (ii) inclusão de novas políticas de rate limit.</w:t>
            </w:r>
          </w:p>
        </w:tc>
      </w:tr>
      <w:tr>
        <w:tc>
          <w:tcPr>
            <w:tcW w:type="dxa" w:w="2880"/>
          </w:tcPr>
          <w:p>
            <w:r>
              <w:t>2/1/2023</w:t>
            </w:r>
          </w:p>
        </w:tc>
        <w:tc>
          <w:tcPr>
            <w:tcW w:type="dxa" w:w="2880"/>
          </w:tcPr>
          <w:p>
            <w:r>
              <w:t>6.1</w:t>
            </w:r>
          </w:p>
        </w:tc>
        <w:tc>
          <w:tcPr>
            <w:tcW w:type="dxa" w:w="2880"/>
          </w:tcPr>
          <w:p>
            <w:r>
              <w:t>Seção 10: ajustes no texto para enfatizar que o PSP do pagador deve abrir a notificação de infração no DICT imediatamente após a reclamação do usuário pagador. Seção 10.3: ajuste no fluxo e na tabela de passo a passo para remover a condição em que o PSP não pode acionar o MED. Seção 10.4: ajuste no fluxo e na tabela de passo a passo para remover a condição em que o PSP não pode acionar o MED.</w:t>
            </w:r>
          </w:p>
        </w:tc>
      </w:tr>
      <w:tr>
        <w:tc>
          <w:tcPr>
            <w:tcW w:type="dxa" w:w="2880"/>
          </w:tcPr>
          <w:p>
            <w:r/>
          </w:p>
        </w:tc>
        <w:tc>
          <w:tcPr>
            <w:tcW w:type="dxa" w:w="2880"/>
          </w:tcPr>
          <w:p>
            <w:r/>
          </w:p>
        </w:tc>
        <w:tc>
          <w:tcPr>
            <w:tcW w:type="dxa" w:w="2880"/>
          </w:tcPr>
          <w:p>
            <w:r>
              <w:t>Seção 18: (i) ajuste no texto para esclarecer que a solicitação do cancelamento de devolução deve ser criada pelo PSP do recebedor; (ii) inclusão do detalhamento sobre o monitoramento a ser realizado pelo PSP em caso de devoluções parciais; e (iii) remoção da condição em que o PSP não pode acionar o MED. Seção 18.1: ajuste no fluxo e na tabela de passo a passo para remover a condição em que o PSP não pode acionar o MED. Seção 18.2: ajuste no fluxo e na tabela de passo a passo para remover a condição em que o PSP não pode acionar o MED.</w:t>
            </w:r>
          </w:p>
        </w:tc>
      </w:tr>
      <w:tr>
        <w:tc>
          <w:tcPr>
            <w:tcW w:type="dxa" w:w="2880"/>
          </w:tcPr>
          <w:p>
            <w:r/>
          </w:p>
        </w:tc>
        <w:tc>
          <w:tcPr>
            <w:tcW w:type="dxa" w:w="2880"/>
          </w:tcPr>
          <w:p>
            <w:r/>
          </w:p>
        </w:tc>
        <w:tc>
          <w:tcPr>
            <w:tcW w:type="dxa" w:w="2880"/>
          </w:tcPr>
          <w:p>
            <w:r>
              <w:t>Seção 18.3: ajuste no fluxo e na tabela de passo a passo para remover a condição em que o PSP não pode acionar o MED. Seção 18.4: ajuste no fluxo e na tabela de passo a passo para remover a condição em que o PSP não pode acionar o MED.</w:t>
            </w:r>
          </w:p>
        </w:tc>
      </w:tr>
      <w:tr>
        <w:tc>
          <w:tcPr>
            <w:tcW w:type="dxa" w:w="2880"/>
          </w:tcPr>
          <w:p>
            <w:r>
              <w:t>5/11/2023</w:t>
            </w:r>
          </w:p>
        </w:tc>
        <w:tc>
          <w:tcPr>
            <w:tcW w:type="dxa" w:w="2880"/>
          </w:tcPr>
          <w:p>
            <w:r>
              <w:t>7.0</w:t>
            </w:r>
          </w:p>
        </w:tc>
        <w:tc>
          <w:tcPr>
            <w:tcW w:type="dxa" w:w="2880"/>
          </w:tcPr>
          <w:p>
            <w:r>
              <w:t>Estrutura: exclusão da seção 14 "Informações vinculadas às chaves para fins de segurança" e renumeração das seções posteriores Seção 8: inclusão das informações retornadas pelo DICT quando uma chave é consultada. Seção 10: reestruturação da seção, com criação de duas subseções: uma para detalhar a notificação de infração para solicitação de devolução ou para cancelamento de devolução; e outra para detalhar a notificação de infração para marcação de fraude transacional. O detalhamento da funcionalidade foi atualizado para incluir novas informações de segurança a serem compartilhadas com os participantes. As subseções 10.1 e 10.2</w:t>
            </w:r>
          </w:p>
        </w:tc>
      </w:tr>
      <w:tr>
        <w:tc>
          <w:tcPr>
            <w:tcW w:type="dxa" w:w="2880"/>
          </w:tcPr>
          <w:p>
            <w:r/>
          </w:p>
        </w:tc>
        <w:tc>
          <w:tcPr>
            <w:tcW w:type="dxa" w:w="2880"/>
          </w:tcPr>
          <w:p>
            <w:r/>
          </w:p>
        </w:tc>
        <w:tc>
          <w:tcPr>
            <w:tcW w:type="dxa" w:w="2880"/>
          </w:tcPr>
          <w:p>
            <w:r>
              <w:t>da versão anterior foram transformadas em subseções 10.2.1 e 10.2.2, respectivamente, com ajustes no fluxo. As subseções 10.3 e 10.4 da versão anterior foram transformadas em subseções 10.1.1 e 10.1.2, respectivamente. Foram criadas, ainda, duas subseções, 10.1.3 e 10.1.4, para detalhar, respectivamente, o fluxo de notificação de infração do tipo "cancelamento de devolução" entre participantes com acesso direto ao DICT e o fluxo de notificação de infração do tipo "cancelamento de devolução" entre participantes com acesso indireto ao DICT</w:t>
            </w:r>
          </w:p>
        </w:tc>
      </w:tr>
      <w:tr>
        <w:tc>
          <w:tcPr>
            <w:tcW w:type="dxa" w:w="2880"/>
          </w:tcPr>
          <w:p>
            <w:r/>
          </w:p>
        </w:tc>
        <w:tc>
          <w:tcPr>
            <w:tcW w:type="dxa" w:w="2880"/>
          </w:tcPr>
          <w:p>
            <w:r/>
          </w:p>
        </w:tc>
        <w:tc>
          <w:tcPr>
            <w:tcW w:type="dxa" w:w="2880"/>
          </w:tcPr>
          <w:p>
            <w:r>
              <w:t>Seção 13: criação de duas subseções: 13.1 Mecanismos adotados pelo DICT (que manteve o texto da versão anterior, com a atualização da política de crédito de ficha em transações envolvendo prestadores de serviço de iniciação e o detalhamento da política de limitação para a nova operação getEntryStatistics) e 13.2 Mecanismos que devem ser adotados pelos participantes do Pix. Seção 14 (corresponde à seção 15 da versão anterior): ajuste na política de limite de requisições da operação getPersonStatistics e criação da política de limite de requisição para as novas operações getEntryStatistics e createFraudMarker.</w:t>
            </w:r>
          </w:p>
        </w:tc>
      </w:tr>
      <w:tr>
        <w:tc>
          <w:tcPr>
            <w:tcW w:type="dxa" w:w="2880"/>
          </w:tcPr>
          <w:p>
            <w:r/>
          </w:p>
        </w:tc>
        <w:tc>
          <w:tcPr>
            <w:tcW w:type="dxa" w:w="2880"/>
          </w:tcPr>
          <w:p>
            <w:r/>
          </w:p>
        </w:tc>
        <w:tc>
          <w:tcPr>
            <w:tcW w:type="dxa" w:w="2880"/>
          </w:tcPr>
          <w:p>
            <w:r>
              <w:t>Seção 17 (corresponde à seção 18 da versão anterior): ajuste no texto para deixar claro que a conta deve ser monitorada em caso de devolução parcial ou de rejeição da solicitação de devolução, desde que a conta transacional não tenha sido encerrada, pelo usuário ou pelo próprio PSP. Seção 18 (corresponde à seção 19 da versão anterior): reestruturação completa da seção, inclusive de seu título, para refletir as novas informações de segurança que serão retornadas pelo DICT quando um CPF, um CNPJ ou uma chave é consultada no endpoint statistics. Seção 18.1 (corresponde à seção 19.1 da versão anterior): ajuste no título e no fluxo. Seção 18.2 (corresponde à seção 19.2 da versão anterior): ajuste no título e no fluxo.</w:t>
            </w:r>
          </w:p>
        </w:tc>
      </w:tr>
      <w:tr>
        <w:tc>
          <w:tcPr>
            <w:tcW w:type="dxa" w:w="2880"/>
          </w:tcPr>
          <w:p>
            <w:r>
              <w:t>1/12/2023</w:t>
            </w:r>
          </w:p>
        </w:tc>
        <w:tc>
          <w:tcPr>
            <w:tcW w:type="dxa" w:w="2880"/>
          </w:tcPr>
          <w:p>
            <w:r>
              <w:t>7.1</w:t>
            </w:r>
          </w:p>
        </w:tc>
        <w:tc>
          <w:tcPr>
            <w:tcW w:type="dxa" w:w="2880"/>
          </w:tcPr>
          <w:p>
            <w:r>
              <w:t>Seção 13.1: Inclusão de duas novas categorias de baldes para participantes no mecanismo de prevenção a ataque de leitura do DICT e ajustes nos parâmetros de tamanho máximo e incremento temporal dos baldes. Seção 17.5: Inserção de determinação para que o PSP do pagador, caso aceite a notificação de infração para cancelamento de devolução, cancele imediatamente a notificação de infração para solicitação de devolução que ele criou para solicitar a devolução da transação original.</w:t>
            </w:r>
          </w:p>
        </w:tc>
      </w:tr>
      <w:tr>
        <w:tc>
          <w:tcPr>
            <w:tcW w:type="dxa" w:w="2880"/>
          </w:tcPr>
          <w:p>
            <w:r>
              <w:t>2/5/2024</w:t>
            </w:r>
          </w:p>
        </w:tc>
        <w:tc>
          <w:tcPr>
            <w:tcW w:type="dxa" w:w="2880"/>
          </w:tcPr>
          <w:p>
            <w:r>
              <w:t>7.2</w:t>
            </w:r>
          </w:p>
        </w:tc>
        <w:tc>
          <w:tcPr>
            <w:tcW w:type="dxa" w:w="2880"/>
          </w:tcPr>
          <w:p>
            <w:r>
              <w:t>Seção 5: Ajuste no texto para informar que uma portabilidade pode ser cancelada pelo PSP reivindicador enquanto o status do pedido for "Aberto". Seção 6: Ajuste no texto para informar que uma reivindicação de posse pode ser cancelada pelo PSP reivindicador enquanto o status do pedido for "Aberto". Seção 10.1: Inserção de explicação sobre notificação de infração contra usuário recebedor que atua como intermediário de pagamentos.</w:t>
            </w:r>
          </w:p>
        </w:tc>
      </w:tr>
      <w:tr>
        <w:tc>
          <w:tcPr>
            <w:tcW w:type="dxa" w:w="2880"/>
          </w:tcPr>
          <w:p>
            <w:r/>
          </w:p>
        </w:tc>
        <w:tc>
          <w:tcPr>
            <w:tcW w:type="dxa" w:w="2880"/>
          </w:tcPr>
          <w:p>
            <w:r/>
          </w:p>
        </w:tc>
        <w:tc>
          <w:tcPr>
            <w:tcW w:type="dxa" w:w="2880"/>
          </w:tcPr>
          <w:p>
            <w:r>
              <w:t>Seção 10.1: Inserção de determinação para que o PSP do pagador cancele a solicitação de devolução aberta caso ele tenha cancelado a notificação de infração que deu origem a ela. Se tiver havido devolução, o PSP do pagador deverá devolver os recursos para o PSP do recebedor através de uma nova transação Pix e abrir uma notificação de infração para marcação de fraude contra seu usuário se concluir que ele agiu de má fé.</w:t>
            </w:r>
          </w:p>
        </w:tc>
      </w:tr>
      <w:tr>
        <w:tc>
          <w:tcPr>
            <w:tcW w:type="dxa" w:w="2880"/>
          </w:tcPr>
          <w:p>
            <w:r/>
          </w:p>
        </w:tc>
        <w:tc>
          <w:tcPr>
            <w:tcW w:type="dxa" w:w="2880"/>
          </w:tcPr>
          <w:p>
            <w:r/>
          </w:p>
        </w:tc>
        <w:tc>
          <w:tcPr>
            <w:tcW w:type="dxa" w:w="2880"/>
          </w:tcPr>
          <w:p>
            <w:r>
              <w:t>Seção 13.1: Aumento da taxa de reposição por consulta de qualquer chave após o recebimento da ordem de pagamento pelo SPI para 2 fichas para o balde de usuário PJ e aumento do incremento temporal para 20 fichas a cada minuto em cada balde de usuário PJ. Seção 13.1: Inserção da informação de que, excepcionalmente, a critério do Banco Central do Brasil, os parâmetros de balde de um usuário PJ podem ser alterados.</w:t>
            </w:r>
          </w:p>
        </w:tc>
      </w:tr>
      <w:tr>
        <w:tc>
          <w:tcPr>
            <w:tcW w:type="dxa" w:w="2880"/>
          </w:tcPr>
          <w:p>
            <w:r/>
          </w:p>
        </w:tc>
        <w:tc>
          <w:tcPr>
            <w:tcW w:type="dxa" w:w="2880"/>
          </w:tcPr>
          <w:p>
            <w:r/>
          </w:p>
        </w:tc>
        <w:tc>
          <w:tcPr>
            <w:tcW w:type="dxa" w:w="2880"/>
          </w:tcPr>
          <w:p>
            <w:r>
              <w:t>Seção 13.1: Inclusão de trecho na nota de rodapé para deixar claro que solicitações de aumento de categoria de balde devem estar devidamente fundamentadas em dados históricos, e não em projeções futuras. Seção 17: Inclusão de trecho para permitir que o PSP do recebedor encerre o monitoramento da conta do usuário recebedor caso a notificação de infração para solicitação de devolução seja cancelada pelo PSP do pagador.</w:t>
            </w:r>
          </w:p>
        </w:tc>
      </w:tr>
      <w:tr>
        <w:tc>
          <w:tcPr>
            <w:tcW w:type="dxa" w:w="2880"/>
          </w:tcPr>
          <w:p>
            <w:r>
              <w:t>02/09/2024</w:t>
            </w:r>
          </w:p>
        </w:tc>
        <w:tc>
          <w:tcPr>
            <w:tcW w:type="dxa" w:w="2880"/>
          </w:tcPr>
          <w:p>
            <w:r>
              <w:t>7.3</w:t>
            </w:r>
          </w:p>
        </w:tc>
        <w:tc>
          <w:tcPr>
            <w:tcW w:type="dxa" w:w="2880"/>
          </w:tcPr>
          <w:p>
            <w:r>
              <w:t>Seção 1: criação da subseção 1.1 para orientações sobre chaves bloqueadas por ordem judicial Seção 8: reestruturação da seção, com criação de uma subseção 8.1 para detalhar quais informações devem ser exibidas ao usuário na consulta de chave. As subseções 8.1, 8.2, 8.3 e 8.4 da versão antiga foram transformadas 8.2, 8.3, 8.4 e 8.5 respectivamente Seção 8.2 (antiga 8.1): inserção de texto, na tabela do fluxo, para deixar claro que os dados da chave podem ser informados de forma manual ou via leitura de QR Code.</w:t>
            </w:r>
          </w:p>
        </w:tc>
      </w:tr>
      <w:tr>
        <w:tc>
          <w:tcPr>
            <w:tcW w:type="dxa" w:w="2880"/>
          </w:tcPr>
          <w:p>
            <w:r/>
          </w:p>
        </w:tc>
        <w:tc>
          <w:tcPr>
            <w:tcW w:type="dxa" w:w="2880"/>
          </w:tcPr>
          <w:p>
            <w:r/>
          </w:p>
        </w:tc>
        <w:tc>
          <w:tcPr>
            <w:tcW w:type="dxa" w:w="2880"/>
          </w:tcPr>
          <w:p>
            <w:r>
              <w:t>Seção 8.3 (antiga 8.2): inserção de texto, na tabela do fluxo, para deixar claro que os dados da chave podem ser informados de forma manual ou via leitura de QR Code. Inserção de mais uma etapa para o PSP com acesso direto ao DICT, para que verifique se a chave está cadastrada em sua base interna. Seção 8.4 (antiga 8.3): inserção de texto, na tabela do fluxo, para deixar claro que os dados da chave podem ser informados de forma manual ou via leitura de QR Code.</w:t>
            </w:r>
          </w:p>
        </w:tc>
      </w:tr>
      <w:tr>
        <w:tc>
          <w:tcPr>
            <w:tcW w:type="dxa" w:w="2880"/>
          </w:tcPr>
          <w:p>
            <w:r/>
          </w:p>
        </w:tc>
        <w:tc>
          <w:tcPr>
            <w:tcW w:type="dxa" w:w="2880"/>
          </w:tcPr>
          <w:p>
            <w:r/>
          </w:p>
        </w:tc>
        <w:tc>
          <w:tcPr>
            <w:tcW w:type="dxa" w:w="2880"/>
          </w:tcPr>
          <w:p>
            <w:r>
              <w:t>Seção 8.5 (antiga 8.4): inserção de texto, na tabela do fluxo, para deixar claro que os dados da chave podem ser informados de forma manual ou via leitura de QR Code. Inserção de mais uma etapa para o PSP com acesso direto ao DICT, para que verifique se a chave está cadastrada em sua base interna. Seção 10: Inclusão de golpes de engenharia social e exclusão de texto que restringia as possibilidades de enquadramento como fraude. Seção 10.1: Exclusão de texto que restringia as possibilidades de enquadramento como fraude no domínio "scam".</w:t>
            </w:r>
          </w:p>
        </w:tc>
      </w:tr>
      <w:tr>
        <w:tc>
          <w:tcPr>
            <w:tcW w:type="dxa" w:w="2880"/>
          </w:tcPr>
          <w:p>
            <w:r/>
          </w:p>
        </w:tc>
        <w:tc>
          <w:tcPr>
            <w:tcW w:type="dxa" w:w="2880"/>
          </w:tcPr>
          <w:p>
            <w:r/>
          </w:p>
        </w:tc>
        <w:tc>
          <w:tcPr>
            <w:tcW w:type="dxa" w:w="2880"/>
          </w:tcPr>
          <w:p>
            <w:r>
              <w:t>Seção 13: criação da subseção 13.2.5 com as restrições dos dados da chave exibidos ao usuário que faz a consulta. Seção 13.1: Inclusão de texto explicativo do funcionamento do balde quando estiver com poucas fichas (menos fichas que a penalização de uma consulta com retorno de chave inválida).</w:t>
            </w:r>
          </w:p>
        </w:tc>
      </w:tr>
      <w:tr>
        <w:tc>
          <w:tcPr>
            <w:tcW w:type="dxa" w:w="2880"/>
          </w:tcPr>
          <w:p>
            <w:r/>
          </w:p>
        </w:tc>
        <w:tc>
          <w:tcPr>
            <w:tcW w:type="dxa" w:w="2880"/>
          </w:tcPr>
          <w:p>
            <w:r/>
          </w:p>
        </w:tc>
        <w:tc>
          <w:tcPr>
            <w:tcW w:type="dxa" w:w="2880"/>
          </w:tcPr>
          <w:p>
            <w:r>
              <w:t>Seção 13.2.3: Correção da relação entre chaves existentes e não existentes para fins de monitoramento (NOT FOUND/(NOT FOUND+FOUND)). Na nota de rodapé, a correção da mesma relação e alteração do parâmetro de 30% para 20% no monitoramento de usuários. Inclusão de texto para deixar claro que o endpoint checkKeys do DICT é de uso exclusivo do PSP, não devendo ser disponibilizado, mesmo que indiretamente, aos usuários.</w:t>
            </w:r>
          </w:p>
        </w:tc>
      </w:tr>
      <w:tr>
        <w:tc>
          <w:tcPr>
            <w:tcW w:type="dxa" w:w="2880"/>
          </w:tcPr>
          <w:p>
            <w:r/>
          </w:p>
        </w:tc>
        <w:tc>
          <w:tcPr>
            <w:tcW w:type="dxa" w:w="2880"/>
          </w:tcPr>
          <w:p>
            <w:r/>
          </w:p>
        </w:tc>
        <w:tc>
          <w:tcPr>
            <w:tcW w:type="dxa" w:w="2880"/>
          </w:tcPr>
          <w:p>
            <w:r>
              <w:t>Seção 16: Inclusão de texto para reforçar que o cache de existência de chave Pix não deve servir de base para um serviço disponibilizado ao usuário. Inclusão de texto para deixar claro que o endpoint checkKeys do DICT é de uso exclusivo do PSP. Seção 18: correções dos textos das respostas do DICT para alinhamento com a terminologia da API do DICT.</w:t>
            </w:r>
          </w:p>
        </w:tc>
      </w:tr>
      <w:tr>
        <w:tc>
          <w:tcPr>
            <w:tcW w:type="dxa" w:w="2880"/>
          </w:tcPr>
          <w:p>
            <w:r>
              <w:t>16/06/2025</w:t>
            </w:r>
          </w:p>
        </w:tc>
        <w:tc>
          <w:tcPr>
            <w:tcW w:type="dxa" w:w="2880"/>
          </w:tcPr>
          <w:p>
            <w:r/>
          </w:p>
        </w:tc>
        <w:tc>
          <w:tcPr>
            <w:tcW w:type="dxa" w:w="2880"/>
          </w:tcPr>
          <w:p>
            <w:r>
              <w:t>Seção 10: Inclusão, na nota de rodapé, de texto para incluir a autorização do Pix automático nas possibilidades de fraude. Seção 17: Inclusão do erro do PSP do pagador no envio de uma ordem de pagamento referente ao Pix Automático como um dos casos de possibilidade de abertura de solicitação de devolução criada pelo PSP do pagador. Inclusão no quadro no campo de Motivo a descrição: erro do PSP do pagador no envio de uma ordem de pagamento referente ao Pix Automático (pix_automatico). Inclusão de nota de rodapé para explicação de que erro operacional em transação de Pix Automático não está incluído no motivo falha operacional do PSP do pagador. Inclusão de nota de</w:t>
            </w:r>
          </w:p>
        </w:tc>
      </w:tr>
      <w:tr>
        <w:tc>
          <w:tcPr>
            <w:tcW w:type="dxa" w:w="2880"/>
          </w:tcPr>
          <w:p>
            <w:r/>
          </w:p>
        </w:tc>
        <w:tc>
          <w:tcPr>
            <w:tcW w:type="dxa" w:w="2880"/>
          </w:tcPr>
          <w:p>
            <w:r/>
          </w:p>
        </w:tc>
        <w:tc>
          <w:tcPr>
            <w:tcW w:type="dxa" w:w="2880"/>
          </w:tcPr>
          <w:p>
            <w:r>
              <w:t>rodapé para explicação do que pode ser considerado como erro do PSP do pagador no envio de uma ordem de pagamento referente ao Pix Automático. Inclusão de texto, no quadro dos campos para fechamento de uma solicitação de devolução, de que se o motivo da solicitação de devolução for pix_automatico o Identificador da transação de devolução (RefundTransactionId) deve ser informado em uma pacs.008. Inclusão do texto "Nos casos relacionados a transações de Pix Automático em que houver erro do PSP do pagador no envio da ordem de pagamento, não há necessidade de monitoramento pelo PSP do recebedor em caso de devolução parcial ou de rejeição da solicitação". Inclusão de nota de rodapé</w:t>
            </w:r>
          </w:p>
        </w:tc>
      </w:tr>
      <w:tr>
        <w:tc>
          <w:tcPr>
            <w:tcW w:type="dxa" w:w="2880"/>
          </w:tcPr>
          <w:p>
            <w:r/>
          </w:p>
        </w:tc>
        <w:tc>
          <w:tcPr>
            <w:tcW w:type="dxa" w:w="2880"/>
          </w:tcPr>
          <w:p>
            <w:r/>
          </w:p>
        </w:tc>
        <w:tc>
          <w:tcPr>
            <w:tcW w:type="dxa" w:w="2880"/>
          </w:tcPr>
          <w:p>
            <w:r>
              <w:t>explicando que as solicitações de devolução relacionadas aos casos de falha operacional do PSP do pagador e aos casos envolvendo transações de Pix Automático não requerem a criação prévia de notificações de infração. Criação da subseção 17.6 para detalhamento do fluxo de solicitação de devolução por erro do PSP do pagador no envio de ordem de pagamento referente ao Pix Automático. Criação das subseções 17.6.1 com o fluxo de solicitação de devolução por erro do PSP do pagador no envio de ordem de pagamento referente ao Pix Automático para participantes do Pix com acesso direto ao DICT e 17.6.2 para os participantes do Pix com acesso indireto ao DICT.</w:t>
            </w:r>
          </w:p>
        </w:tc>
      </w:tr>
      <w:tr>
        <w:tc>
          <w:tcPr>
            <w:tcW w:type="dxa" w:w="2880"/>
          </w:tcPr>
          <w:p>
            <w:r>
              <w:t>09/12/2024</w:t>
            </w:r>
          </w:p>
        </w:tc>
        <w:tc>
          <w:tcPr>
            <w:tcW w:type="dxa" w:w="2880"/>
          </w:tcPr>
          <w:p>
            <w:r>
              <w:t>7.4</w:t>
            </w:r>
          </w:p>
        </w:tc>
        <w:tc>
          <w:tcPr>
            <w:tcW w:type="dxa" w:w="2880"/>
          </w:tcPr>
          <w:p>
            <w:r>
              <w:t>Seção 1.1: inserção de texto para deixar claro que, caso uma chave bloqueada judicialmente seja consultada em uma transação interna, o PSP deve retornar a informação de bloqueio ao usuário, sem a exibição das informações permitidas da chave. Seção 2: validação de posse vira subseção 2.1, e adição de subseções detalhando como a situação cadastral do usuário da Receita impacta a criação e exclusão de chaves Pix.</w:t>
            </w:r>
          </w:p>
        </w:tc>
      </w:tr>
      <w:tr>
        <w:tc>
          <w:tcPr>
            <w:tcW w:type="dxa" w:w="2880"/>
          </w:tcPr>
          <w:p>
            <w:r/>
          </w:p>
        </w:tc>
        <w:tc>
          <w:tcPr>
            <w:tcW w:type="dxa" w:w="2880"/>
          </w:tcPr>
          <w:p>
            <w:r/>
          </w:p>
        </w:tc>
        <w:tc>
          <w:tcPr>
            <w:tcW w:type="dxa" w:w="2880"/>
          </w:tcPr>
          <w:p>
            <w:r>
              <w:t>Seção 4: criação da subseção "4.1. Exclusão de chave por incompatibilidade de dados com a Receita Federal", com a orientação do código a ser usado na exclusão de chaves nessas situações. Os fluxos anteriores 4.1, 4.2, 4.3 e 4.4 foram renumerados para 4.2, 4.3, 4.4 e 4.5, respectivamente. Seção 10.1: Inclusão de informações de contato (e-mail e telefone) do PSP que abre a notificação de infração. Seção 12: Aumento do prazo máximo do cache de chaves consultadas para 180 segundos.</w:t>
            </w:r>
          </w:p>
        </w:tc>
      </w:tr>
      <w:tr>
        <w:tc>
          <w:tcPr>
            <w:tcW w:type="dxa" w:w="2880"/>
          </w:tcPr>
          <w:p>
            <w:r/>
          </w:p>
        </w:tc>
        <w:tc>
          <w:tcPr>
            <w:tcW w:type="dxa" w:w="2880"/>
          </w:tcPr>
          <w:p>
            <w:r/>
          </w:p>
        </w:tc>
        <w:tc>
          <w:tcPr>
            <w:tcW w:type="dxa" w:w="2880"/>
          </w:tcPr>
          <w:p>
            <w:r>
              <w:t>Seção 17: criação da subseção "17.1 - Solicitação de devolução por falha operacional", com orientações para a abertura e análise deste tipo de solicitação de devolução. Os fluxos anteriores 17.1 e 17.2 foram renumerados para 17.1.1 e 17.1.2. As subseções 17.3, 17.4, 17.5 e 17.6 da versão anterior foram transformadas em 17.2, 17.3, 17.4 e 17.5, respectivamente.</w:t>
            </w:r>
          </w:p>
        </w:tc>
      </w:tr>
      <w:tr>
        <w:tc>
          <w:tcPr>
            <w:tcW w:type="dxa" w:w="2880"/>
          </w:tcPr>
          <w:p>
            <w:r>
              <w:t>01/04/2025</w:t>
            </w:r>
          </w:p>
        </w:tc>
        <w:tc>
          <w:tcPr>
            <w:tcW w:type="dxa" w:w="2880"/>
          </w:tcPr>
          <w:p>
            <w:r/>
          </w:p>
        </w:tc>
        <w:tc>
          <w:tcPr>
            <w:tcW w:type="dxa" w:w="2880"/>
          </w:tcPr>
          <w:p>
            <w:r>
              <w:t>Seções 3.1, 3.2, 5.1, 5.2, 6.1, 6.2, 7.1 e 7.2: inclusão de etapa de validação dos dados e situação cadastral do usuário na Receita Federal. Seção 17: obrigatoriedade de preenchimento do campo RefundDetails para pedido de devolução por falha operacional, e do campo RefundAnalysisDetails nos casos de rejeição de pedido de devolução por falha operacional.</w:t>
            </w:r>
          </w:p>
        </w:tc>
      </w:tr>
      <w:tr>
        <w:tc>
          <w:tcPr>
            <w:tcW w:type="dxa" w:w="2880"/>
          </w:tcPr>
          <w:p>
            <w:r>
              <w:t>19/03/2025</w:t>
            </w:r>
          </w:p>
        </w:tc>
        <w:tc>
          <w:tcPr>
            <w:tcW w:type="dxa" w:w="2880"/>
          </w:tcPr>
          <w:p>
            <w:r>
              <w:t>7.5</w:t>
            </w:r>
          </w:p>
        </w:tc>
        <w:tc>
          <w:tcPr>
            <w:tcW w:type="dxa" w:w="2880"/>
          </w:tcPr>
          <w:p>
            <w:r>
              <w:t>Seção 2.2: detalhamentos feitos no texto da seção para incluir os processos de alteração, portabilidade e reivindicação das chaves Pix e para detalhar as situações cadastrais consideradas irregulares. Seção 2.3: previamente "2.3. Prazo para regularização do cadastro na Receita Federal", foi transformada em "2.3. Validação dos nomes vinculados às chaves Pix". Seção 4.1: esclarecimentos sobre a prestação de informações ao usuário.</w:t>
            </w:r>
          </w:p>
        </w:tc>
      </w:tr>
      <w:tr>
        <w:tc>
          <w:tcPr>
            <w:tcW w:type="dxa" w:w="2880"/>
          </w:tcPr>
          <w:p>
            <w:r/>
          </w:p>
        </w:tc>
        <w:tc>
          <w:tcPr>
            <w:tcW w:type="dxa" w:w="2880"/>
          </w:tcPr>
          <w:p>
            <w:r/>
          </w:p>
        </w:tc>
        <w:tc>
          <w:tcPr>
            <w:tcW w:type="dxa" w:w="2880"/>
          </w:tcPr>
          <w:p>
            <w:r>
              <w:t>Seções 7.1 e 7.2: alteração do texto do passo 1 do diagrama para englobar qualquer mudança nas informações vinculadas a chave por iniciativa do PSP. Inclusão de seção 7.3 com esclarecimentos sobre a prestação de informações ao usuário. Seção 12: alteração de obrigação para recomendação em relação à utilização do cache interno para consultas de uma mesma chave pelo mesmo participante dentro do prazo de validade.</w:t>
            </w:r>
          </w:p>
        </w:tc>
      </w:tr>
      <w:tr>
        <w:tc>
          <w:tcPr>
            <w:tcW w:type="dxa" w:w="2880"/>
          </w:tcPr>
          <w:p>
            <w:r/>
          </w:p>
        </w:tc>
        <w:tc>
          <w:tcPr>
            <w:tcW w:type="dxa" w:w="2880"/>
          </w:tcPr>
          <w:p>
            <w:r/>
          </w:p>
        </w:tc>
        <w:tc>
          <w:tcPr>
            <w:tcW w:type="dxa" w:w="2880"/>
          </w:tcPr>
          <w:p>
            <w:r>
              <w:t>Seção 13.2.2: alteração do termo "equivalente" por "igual" no que se refere à política de limitação de consultas dos participantes em relação à política de token bucket do DICT.</w:t>
            </w:r>
          </w:p>
        </w:tc>
      </w:tr>
      <w:tr>
        <w:tc>
          <w:tcPr>
            <w:tcW w:type="dxa" w:w="2880"/>
          </w:tcPr>
          <w:p>
            <w:r>
              <w:t>01/07/2025</w:t>
            </w:r>
          </w:p>
        </w:tc>
        <w:tc>
          <w:tcPr>
            <w:tcW w:type="dxa" w:w="2880"/>
          </w:tcPr>
          <w:p>
            <w:r/>
          </w:p>
        </w:tc>
        <w:tc>
          <w:tcPr>
            <w:tcW w:type="dxa" w:w="2880"/>
          </w:tcPr>
          <w:p>
            <w:r>
              <w:t>Seções 3.1, 3.2, 7.1 e 7.2: alteração da data de entrada em vigor da etapa de validação dos dados e situação cadastral do usuário na Receita Federal durante o registro e alteração de chaves.</w:t>
            </w:r>
          </w:p>
        </w:tc>
      </w:tr>
      <w:tr>
        <w:tc>
          <w:tcPr>
            <w:tcW w:type="dxa" w:w="2880"/>
          </w:tcPr>
          <w:p>
            <w:r>
              <w:t>01/10/2025</w:t>
            </w:r>
          </w:p>
        </w:tc>
        <w:tc>
          <w:tcPr>
            <w:tcW w:type="dxa" w:w="2880"/>
          </w:tcPr>
          <w:p>
            <w:r/>
          </w:p>
        </w:tc>
        <w:tc>
          <w:tcPr>
            <w:tcW w:type="dxa" w:w="2880"/>
          </w:tcPr>
          <w:p>
            <w:r>
              <w:t>Seções 5.1, 5.2, 6.1 e 6.2: alteração da data de entrada em vigor da etapa de validação dos dados e situação cadastral do usuário na Receita Federal durante a portabilidade e a reivindicação de posse de chave.</w:t>
            </w:r>
          </w:p>
        </w:tc>
      </w:tr>
    </w:tbl>
    <w:p/>
    <w:tbl>
      <w:tblPr>
        <w:tblW w:type="auto" w:w="0"/>
        <w:tblLook w:firstColumn="1" w:firstRow="1" w:lastColumn="0" w:lastRow="0" w:noHBand="0" w:noVBand="1" w:val="04A0"/>
      </w:tblPr>
      <w:tblGrid>
        <w:gridCol w:w="2880"/>
        <w:gridCol w:w="2880"/>
        <w:gridCol w:w="2880"/>
      </w:tblGrid>
      <w:tr>
        <w:tc>
          <w:tcPr>
            <w:tcW w:type="dxa" w:w="2880"/>
          </w:tcPr>
          <w:p/>
        </w:tc>
        <w:tc>
          <w:tcPr>
            <w:tcW w:type="dxa" w:w="2880"/>
          </w:tcPr>
          <w:p/>
        </w:tc>
        <w:tc>
          <w:tcPr>
            <w:tcW w:type="dxa" w:w="2880"/>
          </w:tcPr>
          <w:p/>
        </w:tc>
      </w:tr>
      <w:tr>
        <w:tc>
          <w:tcPr>
            <w:tcW w:type="dxa" w:w="2880"/>
          </w:tcPr>
          <w:p>
            <w:r>
              <w:t>28/08/2025</w:t>
            </w:r>
          </w:p>
        </w:tc>
        <w:tc>
          <w:tcPr>
            <w:tcW w:type="dxa" w:w="2880"/>
          </w:tcPr>
          <w:p>
            <w:r>
              <w:t>8.0</w:t>
            </w:r>
          </w:p>
        </w:tc>
        <w:tc>
          <w:tcPr>
            <w:tcW w:type="dxa" w:w="2880"/>
          </w:tcPr>
          <w:p>
            <w:r>
              <w:t>Seção 6: melhoria de redação. Seção 8: esclarecimento de que o nome social deve constar do CPF para poder ser cadastrado em uma chave Pix de pessoa física. Seção 9: esclarecimento sobre o motivo "reconciliação" para atualização de informações.</w:t>
            </w:r>
          </w:p>
        </w:tc>
      </w:tr>
      <w:tr>
        <w:tc>
          <w:tcPr>
            <w:tcW w:type="dxa" w:w="2880"/>
          </w:tcPr>
          <w:p>
            <w:r/>
          </w:p>
        </w:tc>
        <w:tc>
          <w:tcPr>
            <w:tcW w:type="dxa" w:w="2880"/>
          </w:tcPr>
          <w:p>
            <w:r/>
          </w:p>
        </w:tc>
        <w:tc>
          <w:tcPr>
            <w:tcW w:type="dxa" w:w="2880"/>
          </w:tcPr>
          <w:p>
            <w:r>
              <w:t>Seção 13.1: esclarecimento de que o payer-ID informado na consulta ao DICT deve ser o mesmo identificador do usuário pagador da transação Pix relacionada e inclusão da necessidade de aprovação do diretor de segurança cibernética do participante responsável (quando houver) para pedidos de aumento de categoria de balde de consultas do DICT. Seção 13.2.3: inclusão da necessidade de monitoramento em períodos mais longos e da finalidade não permitida como uma situação anômala.</w:t>
            </w:r>
          </w:p>
        </w:tc>
      </w:tr>
      <w:tr>
        <w:tc>
          <w:tcPr>
            <w:tcW w:type="dxa" w:w="2880"/>
          </w:tcPr>
          <w:p>
            <w:r/>
          </w:p>
        </w:tc>
        <w:tc>
          <w:tcPr>
            <w:tcW w:type="dxa" w:w="2880"/>
          </w:tcPr>
          <w:p>
            <w:r/>
          </w:p>
        </w:tc>
        <w:tc>
          <w:tcPr>
            <w:tcW w:type="dxa" w:w="2880"/>
          </w:tcPr>
          <w:p>
            <w:r>
              <w:t>Seção 17: correção do parágrafo sobre o resultado da análise de uma solicitação de devolução para considerar a liquidação, e não a emissão, de uma pacs.004 ou de uma pacs.008, nos casos de Pix Automático ou cancelamento de devolução. Seção 17.1: esclarecimento sobre o envio de informações pelo PSP que abre a solicitação de devolução por falha operacional.</w:t>
            </w:r>
          </w:p>
        </w:tc>
      </w:tr>
      <w:tr>
        <w:tc>
          <w:tcPr>
            <w:tcW w:type="dxa" w:w="2880"/>
          </w:tcPr>
          <w:p>
            <w:r>
              <w:t>01/10/2025</w:t>
            </w:r>
          </w:p>
        </w:tc>
        <w:tc>
          <w:tcPr>
            <w:tcW w:type="dxa" w:w="2880"/>
          </w:tcPr>
          <w:p>
            <w:r/>
          </w:p>
        </w:tc>
        <w:tc>
          <w:tcPr>
            <w:tcW w:type="dxa" w:w="2880"/>
          </w:tcPr>
          <w:p>
            <w:r>
              <w:t>Seção 10.1: esclarecimento de que é permitido ao PSP do pagador editar a notificação de infração enquanto ela está nos estados "aberta" ou "recebida".</w:t>
            </w:r>
          </w:p>
        </w:tc>
      </w:tr>
      <w:tr>
        <w:tc>
          <w:tcPr>
            <w:tcW w:type="dxa" w:w="2880"/>
          </w:tcPr>
          <w:p>
            <w:r>
              <w:t>23/11/2025</w:t>
            </w:r>
          </w:p>
        </w:tc>
        <w:tc>
          <w:tcPr>
            <w:tcW w:type="dxa" w:w="2880"/>
          </w:tcPr>
          <w:p>
            <w:r/>
          </w:p>
        </w:tc>
        <w:tc>
          <w:tcPr>
            <w:tcW w:type="dxa" w:w="2880"/>
          </w:tcPr>
          <w:p>
            <w:r>
              <w:t>Aprimoramentos das regras e funcionalidades relacionadas ao MED: Alterações nas seções 10 "Notificação de Infração"; 10.1 "Notificação de infração para solicitação de devolução ou para cancelamento de devolução"; e 17 "Fluxo de solicitação de devolução". Criação da Seção 20: "Fluxo de Recuperação de Valores" Criação da Seção 21: "Notificações de Eventos"</w:t>
            </w:r>
          </w:p>
        </w:tc>
      </w:tr>
      <w:tr>
        <w:tc>
          <w:tcPr>
            <w:tcW w:type="dxa" w:w="2880"/>
          </w:tcPr>
          <w:p>
            <w:r>
              <w:t>02/02/2026</w:t>
            </w:r>
          </w:p>
        </w:tc>
        <w:tc>
          <w:tcPr>
            <w:tcW w:type="dxa" w:w="2880"/>
          </w:tcPr>
          <w:p>
            <w:r>
              <w:t>8.1</w:t>
            </w:r>
          </w:p>
        </w:tc>
        <w:tc>
          <w:tcPr>
            <w:tcW w:type="dxa" w:w="2880"/>
          </w:tcPr>
          <w:p>
            <w:r>
              <w:t>Aprimoramentos das regras e funcionalidades relacionadas ao MED: Seção 10: Fluxo de Notificação de Infração Ajustes no texto das seções 10 "Fluxo de Notificação de Infração" e 10.1 "Notificação de infração para solicitação de devolução ou para cancelamento de devolução" para incluir aspectos da notificação de infração criada por meio da Recuperação de Valores; Criação da seção 10.1.5 "Fluxo de análise de notificação de infração em Recuperação de Valores."</w:t>
            </w:r>
          </w:p>
        </w:tc>
      </w:tr>
      <w:tr>
        <w:tc>
          <w:tcPr>
            <w:tcW w:type="dxa" w:w="2880"/>
          </w:tcPr>
          <w:p>
            <w:r/>
          </w:p>
        </w:tc>
        <w:tc>
          <w:tcPr>
            <w:tcW w:type="dxa" w:w="2880"/>
          </w:tcPr>
          <w:p>
            <w:r/>
          </w:p>
        </w:tc>
        <w:tc>
          <w:tcPr>
            <w:tcW w:type="dxa" w:w="2880"/>
          </w:tcPr>
          <w:p>
            <w:r>
              <w:t>Seção 17: Fluxo de Solicitação de Devolução Ajustes no texto das seções 17 e 17.1 para incluir aspectos da solicitação de devolução por fraude criada por meio da Recuperação de Valores; Inclusão do campo EffectiveRefundedAmount; Correção da numeração das seções 17.1.1 e 17.1.2;</w:t>
            </w:r>
          </w:p>
        </w:tc>
      </w:tr>
      <w:tr>
        <w:tc>
          <w:tcPr>
            <w:tcW w:type="dxa" w:w="2880"/>
          </w:tcPr>
          <w:p>
            <w:r/>
          </w:p>
        </w:tc>
        <w:tc>
          <w:tcPr>
            <w:tcW w:type="dxa" w:w="2880"/>
          </w:tcPr>
          <w:p>
            <w:r/>
          </w:p>
        </w:tc>
        <w:tc>
          <w:tcPr>
            <w:tcW w:type="dxa" w:w="2880"/>
          </w:tcPr>
          <w:p>
            <w:r>
              <w:t>Ajustes no texto das seções 17.2, 17.3, 17.4 para incluir aspectos da solicitação de devolução por fraude criada por meio da Recuperação de Valores; Seção "17.5 Fluxo de solicitação de devolução por erro do PSP do pagador no envio de ordem de pagamento referente ao Pix Automático": Esclarecimento de que, no fluxo de solicitação de devolução por erro do PSP do pagador no Pix Automático, o PSP deve devolver ao seu cliente, utilizando recursos próprios, o valor da transação ainda não recuperado;</w:t>
            </w:r>
          </w:p>
        </w:tc>
      </w:tr>
      <w:tr>
        <w:tc>
          <w:tcPr>
            <w:tcW w:type="dxa" w:w="2880"/>
          </w:tcPr>
          <w:p>
            <w:r/>
          </w:p>
        </w:tc>
        <w:tc>
          <w:tcPr>
            <w:tcW w:type="dxa" w:w="2880"/>
          </w:tcPr>
          <w:p>
            <w:r/>
          </w:p>
        </w:tc>
        <w:tc>
          <w:tcPr>
            <w:tcW w:type="dxa" w:w="2880"/>
          </w:tcPr>
          <w:p>
            <w:r>
              <w:t>Correção da numeração das seções 17.5.1 e 17.5.2; Seção 20: Fluxo de Recuperação de Valores Ajustes gerais no texto de todo o capítulo; Inclusão do detalhamento dos estados de uma Recuperação de Valores; Remoção do campo FlowType e dos textos relacionados ao fluxo interativo;</w:t>
            </w:r>
          </w:p>
        </w:tc>
      </w:tr>
      <w:tr>
        <w:tc>
          <w:tcPr>
            <w:tcW w:type="dxa" w:w="2880"/>
          </w:tcPr>
          <w:p>
            <w:r/>
          </w:p>
        </w:tc>
        <w:tc>
          <w:tcPr>
            <w:tcW w:type="dxa" w:w="2880"/>
          </w:tcPr>
          <w:p>
            <w:r/>
          </w:p>
        </w:tc>
        <w:tc>
          <w:tcPr>
            <w:tcW w:type="dxa" w:w="2880"/>
          </w:tcPr>
          <w:p>
            <w:r>
              <w:t>Seção 20.1.1 foi renomeada para "Instauração"; Seção 20.1.2 foi renomeada para "Rastreamento"; Seção 20.1.3 foi renomeada para "Priorização"; Seção 20.1.4 foi renomeada para "Solicitação de bloqueio"; Remoção da Seção 20.1.5 "Instauração no fluxo automatizado";</w:t>
            </w:r>
          </w:p>
        </w:tc>
      </w:tr>
      <w:tr>
        <w:tc>
          <w:tcPr>
            <w:tcW w:type="dxa" w:w="2880"/>
          </w:tcPr>
          <w:p>
            <w:r/>
          </w:p>
        </w:tc>
        <w:tc>
          <w:tcPr>
            <w:tcW w:type="dxa" w:w="2880"/>
          </w:tcPr>
          <w:p>
            <w:r/>
          </w:p>
        </w:tc>
        <w:tc>
          <w:tcPr>
            <w:tcW w:type="dxa" w:w="2880"/>
          </w:tcPr>
          <w:p>
            <w:r>
              <w:t>Seção 20.1.6 foi renumerada para 20.1.5 e renomeada para "Análise"; Seção 20.1.7 foi renumerada para 20.1.6 e renomeada para "Devolução"; Seção 20.1.8 "Desbloqueio de recursos" foi renumerada para 20.1.7; Seção 20.1.9 "Recuperação de valores para transações liquidadas nos sistemas dos participantes" foi renumerada para 20.1.8; Criação da seção "20.1.9 Cancelamento de devolução";</w:t>
            </w:r>
          </w:p>
        </w:tc>
      </w:tr>
      <w:tr>
        <w:tc>
          <w:tcPr>
            <w:tcW w:type="dxa" w:w="2880"/>
          </w:tcPr>
          <w:p>
            <w:r/>
          </w:p>
        </w:tc>
        <w:tc>
          <w:tcPr>
            <w:tcW w:type="dxa" w:w="2880"/>
          </w:tcPr>
          <w:p>
            <w:r/>
          </w:p>
        </w:tc>
        <w:tc>
          <w:tcPr>
            <w:tcW w:type="dxa" w:w="2880"/>
          </w:tcPr>
          <w:p>
            <w:r>
              <w:t>Criação da seção "20.1.10 Cancelamento da Recuperação de Valores"; Criação da seção "20.1.11 Alteração da Recuperação de Valores"; Remoção da seção "20.2 Fluxo de instauração e solicitação de bloqueio no fluxo interativo"; Seção 20.3 foi renumerada para 20.2 e renomeada para "Fluxo de instauração e solicitação de bloqueio" Renumeração das seções 20.4 e 20.5 para 20.3 e 20.4, respectivamente;</w:t>
            </w:r>
          </w:p>
        </w:tc>
      </w:tr>
      <w:tr>
        <w:tc>
          <w:tcPr>
            <w:tcW w:type="dxa" w:w="2880"/>
          </w:tcPr>
          <w:p>
            <w:r/>
          </w:p>
        </w:tc>
        <w:tc>
          <w:tcPr>
            <w:tcW w:type="dxa" w:w="2880"/>
          </w:tcPr>
          <w:p>
            <w:r/>
          </w:p>
        </w:tc>
        <w:tc>
          <w:tcPr>
            <w:tcW w:type="dxa" w:w="2880"/>
          </w:tcPr>
          <w:p>
            <w:r>
              <w:t>Revisão do fluxo 20.3 "Fluxo de análise"; · Seção 21: Notificações de eventos Inclusão dos eventos FUNDS_RECOVERY_INFORMATION_UPDATED e FUNDS_RECOVERY_CANCELLED Alterações no texto; Criação da Seção 21.1 "Eventos existentes";</w:t>
            </w:r>
          </w:p>
        </w:tc>
      </w:tr>
      <w:tr>
        <w:tc>
          <w:tcPr>
            <w:tcW w:type="dxa" w:w="2880"/>
          </w:tcPr>
          <w:p>
            <w:r/>
          </w:p>
        </w:tc>
        <w:tc>
          <w:tcPr>
            <w:tcW w:type="dxa" w:w="2880"/>
          </w:tcPr>
          <w:p>
            <w:r/>
          </w:p>
        </w:tc>
        <w:tc>
          <w:tcPr>
            <w:tcW w:type="dxa" w:w="2880"/>
          </w:tcPr>
          <w:p>
            <w:r>
              <w:t>Criação da Seção 21.1.1 "Relacionados a Recuperação de Valores"; Outras alterações: Seção "2.3 Validação dos nomes vinculados às chaves Pix": Inclusão de regra para utilização de espaço simples no lugar de caracteres não aceitos pela API do DICT;</w:t>
            </w:r>
          </w:p>
        </w:tc>
      </w:tr>
      <w:tr>
        <w:tc>
          <w:tcPr>
            <w:tcW w:type="dxa" w:w="2880"/>
          </w:tcPr>
          <w:p>
            <w:r/>
          </w:p>
        </w:tc>
        <w:tc>
          <w:tcPr>
            <w:tcW w:type="dxa" w:w="2880"/>
          </w:tcPr>
          <w:p>
            <w:r/>
          </w:p>
        </w:tc>
        <w:tc>
          <w:tcPr>
            <w:tcW w:type="dxa" w:w="2880"/>
          </w:tcPr>
          <w:p>
            <w:r>
              <w:t>Seção "6.1 Fluxo de reivindicação de posse para o PSP reivindicador com acesso direto ao DICT": Correção no direcionamento do caso II do passo 6.</w:t>
            </w:r>
          </w:p>
        </w:tc>
      </w:tr>
      <w:tr>
        <w:tc>
          <w:tcPr>
            <w:tcW w:type="dxa" w:w="2880"/>
          </w:tcPr>
          <w:p>
            <w:r>
              <w:t>11/05/2026</w:t>
            </w:r>
          </w:p>
        </w:tc>
        <w:tc>
          <w:tcPr>
            <w:tcW w:type="dxa" w:w="2880"/>
          </w:tcPr>
          <w:p>
            <w:r>
              <w:t>8.2</w:t>
            </w:r>
          </w:p>
        </w:tc>
        <w:tc>
          <w:tcPr>
            <w:tcW w:type="dxa" w:w="2880"/>
          </w:tcPr>
          <w:p>
            <w:r>
              <w:t>Aprimoramentos das regras e de funcionalidades relacionadas ao MED: Seção 10: Fluxo de Notificação de Infração Seções 10 e 10.1: 1 - Exclusão da abertura de notificação de infração por meio do endpoint "Criar Notificação de Infração"; 2 - Exclusão de menções a cancelamento de devolução, que passará a ser executado via abertura de Recuperação de Valores;</w:t>
            </w:r>
          </w:p>
        </w:tc>
      </w:tr>
      <w:tr>
        <w:tc>
          <w:tcPr>
            <w:tcW w:type="dxa" w:w="2880"/>
          </w:tcPr>
          <w:p>
            <w:r/>
          </w:p>
        </w:tc>
        <w:tc>
          <w:tcPr>
            <w:tcW w:type="dxa" w:w="2880"/>
          </w:tcPr>
          <w:p>
            <w:r/>
          </w:p>
        </w:tc>
        <w:tc>
          <w:tcPr>
            <w:tcW w:type="dxa" w:w="2880"/>
          </w:tcPr>
          <w:p>
            <w:r>
              <w:t>3 - Atualização das regras da notificação de infração vinculada à Recuperação de Valores. Seção 10.1.1: alteração no nome da seção para "Fluxo de notificação de infração para abertura de solicitação de devolução", ajuste no texto e remoção do fluxo. Exclusão das seções 10.1.2, 10.1.3, 10.1.4 e 10.1.5. Seção 17: Fluxo de Solicitação de Devolução</w:t>
            </w:r>
          </w:p>
        </w:tc>
      </w:tr>
      <w:tr>
        <w:tc>
          <w:tcPr>
            <w:tcW w:type="dxa" w:w="2880"/>
          </w:tcPr>
          <w:p>
            <w:r/>
          </w:p>
        </w:tc>
        <w:tc>
          <w:tcPr>
            <w:tcW w:type="dxa" w:w="2880"/>
          </w:tcPr>
          <w:p>
            <w:r/>
          </w:p>
        </w:tc>
        <w:tc>
          <w:tcPr>
            <w:tcW w:type="dxa" w:w="2880"/>
          </w:tcPr>
          <w:p>
            <w:r>
              <w:t>1 - Exclusão do motivo refundCancelled do campo RefundReason da Solicitação de Devolução. 2 - Ajustes no texto da seção para atualização das regras da solicitação de devolução vinculada à recuperação de valores. Seção 17.1: ajuste no texto sobre a conduta em caso de fraude ou golpe. Seção 17.2: alteração no nome da seção para "Fluxo de solicitação de devolução por "fundada suspeita de fraude"", ajuste no texto e remoção do fluxo.</w:t>
            </w:r>
          </w:p>
        </w:tc>
      </w:tr>
      <w:tr>
        <w:tc>
          <w:tcPr>
            <w:tcW w:type="dxa" w:w="2880"/>
          </w:tcPr>
          <w:p>
            <w:r/>
          </w:p>
        </w:tc>
        <w:tc>
          <w:tcPr>
            <w:tcW w:type="dxa" w:w="2880"/>
          </w:tcPr>
          <w:p>
            <w:r/>
          </w:p>
        </w:tc>
        <w:tc>
          <w:tcPr>
            <w:tcW w:type="dxa" w:w="2880"/>
          </w:tcPr>
          <w:p>
            <w:r>
              <w:t>Exclusão das seções 17.3 e 17.4. Seção 17.5 anterior foi renumerada para 17.3, incluindo as subseções. Seção 20: Fluxo de Recuperação de Valores Seções 20, 20.1.1, 20.1.5, 20.1.6, 20.1.9 e 20.1.10: ajustes no texto para atualização das regras sobre a Recuperação de Valores. Seção 20.1.9 "Cancelamento de devolução" renomeada para "Contestação de transação de devolução por fraude".</w:t>
            </w:r>
          </w:p>
        </w:tc>
      </w:tr>
      <w:tr>
        <w:tc>
          <w:tcPr>
            <w:tcW w:type="dxa" w:w="2880"/>
          </w:tcPr>
          <w:p>
            <w:r>
              <w:t>09/06/2026</w:t>
            </w:r>
          </w:p>
        </w:tc>
        <w:tc>
          <w:tcPr>
            <w:tcW w:type="dxa" w:w="2880"/>
          </w:tcPr>
          <w:p>
            <w:r>
              <w:t>8.3</w:t>
            </w:r>
          </w:p>
        </w:tc>
        <w:tc>
          <w:tcPr>
            <w:tcW w:type="dxa" w:w="2880"/>
          </w:tcPr>
          <w:p>
            <w:r>
              <w:t>Alterações em caso de rejeição de uma notificação de infração: durante a Recuperação de Valores, após a rejeição de uma notificação de infração o DICT cancelará automaticamente todas as notificações de infração vinculadas às transações subsequentes para as quais não seja possível identificar um caminho conexo desde a transação raiz. Seções alteradas:  Seção 10.1: Notificação de infração para solicitação de devolução  Seção 20.1.5: Análise</w:t>
            </w:r>
          </w:p>
        </w:tc>
      </w:tr>
      <w:tr>
        <w:tc>
          <w:tcPr>
            <w:tcW w:type="dxa" w:w="2880"/>
          </w:tcPr>
          <w:p>
            <w:r/>
          </w:p>
        </w:tc>
        <w:tc>
          <w:tcPr>
            <w:tcW w:type="dxa" w:w="2880"/>
          </w:tcPr>
          <w:p>
            <w:r/>
          </w:p>
        </w:tc>
        <w:tc>
          <w:tcPr>
            <w:tcW w:type="dxa" w:w="2880"/>
          </w:tcPr>
          <w:p>
            <w:r>
              <w:t> Seção 20.1.6: Devolução: esclarecimento de que a etapa de devolução acontecerá apenas se a recuperação de valores não tiver sido concluída automaticamente após a etapa de análise.  Seção 20.3: Fluxo de Análise: alteração no passo 9</w:t>
            </w:r>
          </w:p>
        </w:tc>
      </w:tr>
      <w:tr>
        <w:tc>
          <w:tcPr>
            <w:tcW w:type="dxa" w:w="2880"/>
          </w:tcPr>
          <w:p>
            <w:r>
              <w:t>01/07/2026</w:t>
            </w:r>
          </w:p>
        </w:tc>
        <w:tc>
          <w:tcPr>
            <w:tcW w:type="dxa" w:w="2880"/>
          </w:tcPr>
          <w:p>
            <w:r>
              <w:t>8.4</w:t>
            </w:r>
          </w:p>
        </w:tc>
        <w:tc>
          <w:tcPr>
            <w:tcW w:type="dxa" w:w="2880"/>
          </w:tcPr>
          <w:p>
            <w:r>
              <w:t> Seção 1: Alteração do formato da chave CNPJ para padrão alfanumérico.  Seção 17: exclusão da necessidade de monitoramento da conta após devolução parcial ou rejeição de solicitações de devolução com RefundReason = FRAUD, pequenos ajustes no texto para fins de esclarecimento.  Seção 20: correção da obrigatoriedade do campo TrackingGraphParameters.  Seção 20.1.1: esclarecimento sobre os tipos de transação pacs.004 que podem ser contestadas.</w:t>
            </w:r>
          </w:p>
        </w:tc>
      </w:tr>
      <w:tr>
        <w:tc>
          <w:tcPr>
            <w:tcW w:type="dxa" w:w="2880"/>
          </w:tcPr>
          <w:p>
            <w:r/>
          </w:p>
        </w:tc>
        <w:tc>
          <w:tcPr>
            <w:tcW w:type="dxa" w:w="2880"/>
          </w:tcPr>
          <w:p>
            <w:r/>
          </w:p>
        </w:tc>
        <w:tc>
          <w:tcPr>
            <w:tcW w:type="dxa" w:w="2880"/>
          </w:tcPr>
          <w:p>
            <w:r>
              <w:t> Seção 20.1.4: revisão do texto e esclarecimento sobre o valor total a ser bloqueado em caso de recebimento de várias notificações de infração vinculadas a uma mesma transação.  Seção 20.1.5: esclarecimento sobre a possibilidade de recebimento de várias notificações de infração associadas à uma mesma transação e sobre o campo ReporterParticipant da Notificação de Infração.  Seção 20.1.6: esclarecimento que o DICT finalizará automaticamente as recuperações de valores cuja etapa de devolução não</w:t>
            </w:r>
          </w:p>
        </w:tc>
      </w:tr>
      <w:tr>
        <w:tc>
          <w:tcPr>
            <w:tcW w:type="dxa" w:w="2880"/>
          </w:tcPr>
          <w:p>
            <w:r/>
          </w:p>
        </w:tc>
        <w:tc>
          <w:tcPr>
            <w:tcW w:type="dxa" w:w="2880"/>
          </w:tcPr>
          <w:p>
            <w:r/>
          </w:p>
        </w:tc>
        <w:tc>
          <w:tcPr>
            <w:tcW w:type="dxa" w:w="2880"/>
          </w:tcPr>
          <w:p>
            <w:r>
              <w:t>tenha sido iniciada pelo PSP Recuperador dentro do prazo permitido e exclusão da necessidade de monitoramento da conta.  Seção 20.1.9: esclarecimento sobre quais tipos de transação de devolução podem ser contestadas.  Seção 20.1.10: esclarecimento que a recuperação de valores pode ser cancelada a qualquer momento.  Seção 20.1.11: esclarecimento que a alteração da Recuperação de Valores não é replicada nas Notificações de Infração.  Seção 20.3: alteração do texto do passo 12</w:t>
            </w:r>
          </w:p>
        </w:tc>
      </w:tr>
    </w:tbl>
    <w:p/>
    <w:p>
      <w:r>
        <w:t>NOTA</w:t>
      </w:r>
    </w:p>
    <w:p>
      <w:r>
        <w:t>O Decreto nº 10.411, de 30 de junho de 2020, prevê a obrigatoriedade da realização de análise de impacto regulatório (AIR) para a edição de atos normativos de interesse geral produzidos pelos órgãos e entidades da administração pública federal direta e indireta.</w:t>
      </w:r>
    </w:p>
    <w:p>
      <w:r>
        <w:t>Todavia, consoante se definiu no parágrafo 8 do Voto 280/2021-BCB, de 10 de novembro de 2021, o Regulamento do Pix, inclusive os demais documentos que o integram ou que o detalham e o complementam, não se caracterizam como ato regulatório de força cogente, ostentando, em verdade, natureza eminentemente contratual. Assim, modificações promovidas no referido regulamento e nos demais documentos que o integram ou que o detalham e o complementam não se sujeitam à produção prévia de AIR.</w:t>
      </w:r>
    </w:p>
    <w:p>
      <w:r>
        <w:br w:type="page"/>
      </w:r>
    </w:p>
    <w:p>
      <w:pPr>
        <w:pStyle w:val="Heading2"/>
      </w:pPr>
      <w:r>
        <w:t>INSTRUÇÃO NORMATIVA BCB Nº 753, DE 1º de JULHO DE 2026</w:t>
      </w:r>
    </w:p>
    <w:p>
      <w:pPr>
        <w:pStyle w:val="ListBullet"/>
      </w:pPr>
      <w:r>
        <w:t>Ementa: Altera a Instrução Normativa BCB nº 210, de 21 de dezembro de 2021, que altera e consolida os procedimentos de remessa do Balancete e do Balanço Patrimonial Analítico do Conglomerado Prudencial e os procedimentos de registro das instituições que não integram conglomerado prudencial, e altera as Instruções de preenchimento e o Leiaute dos documentos de códigos 4060 - Balancete Patrimonial Analítico - Conglomerado Prudencial e 4066 - Balanço Patrimonial Analítico - Conglomerado Prudencial.</w:t>
      </w:r>
    </w:p>
    <w:p>
      <w:r>
        <w:t>Categoria: Banco Central do Brasil/Área de Fiscalização/Departamento de Monitoramento do Sistema Financeiro</w:t>
      </w:r>
    </w:p>
    <w:p>
      <w:r>
        <w:t>Página: 112</w:t>
      </w:r>
    </w:p>
    <w:p/>
    <w:p>
      <w:r>
        <w:t>INSTRUÇÃO NORMATIVA BCB Nº 753, DE 1º de JULHO DE 2026</w:t>
      </w:r>
    </w:p>
    <w:p>
      <w:r>
        <w:t>Altera a Instrução Normativa BCB nº 210, de 21 de dezembro de 2021, que altera e consolida os procedimentos de remessa do Balancete e do Balanço Patrimonial Analítico do Conglomerado Prudencial e os procedimentos de registro das instituições que não integram conglomerado prudencial, e altera as Instruções de preenchimento e o Leiaute dos documentos de códigos 4060 - Balancete Patrimonial Analítico - Conglomerado Prudencial e 4066 - Balanço Patrimonial Analítico - Conglomerado Prudencial.</w:t>
      </w:r>
    </w:p>
    <w:p>
      <w:r>
        <w:t>O Chefe do Departamento de Monitoramento do Sistema Financeiro - Desig no uso da atribuição que lhe confere o art. 23, inciso I, alínea "a", do Regimento Interno do Banco Central do Brasil, anexo à Resolução BCB nº 340, de 21 de setembro de 2023, com base no art. 85, inciso I, alínea "b", do referido Regimento, e tendo em vista o disposto nas Resoluções CMN ns. 4.911, de 27 de maio de 2021, 4.924, de 24 de junho de 2021, e 4.950, de 30 de setembro de 2021, e nas Resoluções BCB ns. 120, de 27 de julho de 2021, 146, de 28 de setembro de 2021 e 168, de 1º de dezembro de 2021, resolve:</w:t>
      </w:r>
    </w:p>
    <w:p>
      <w:r>
        <w:t>Art. 1º A Instrução Normativa BCB nº 210, de 21 de dezembro de 2021, publicada no DOU de 22/12/2021, Seção 1, p. 242, passa a vigorar com as seguintes alterações:</w:t>
      </w:r>
    </w:p>
    <w:p>
      <w:r>
        <w:t>"Art. 4º ................................................................................................................</w:t>
      </w:r>
    </w:p>
    <w:p>
      <w:r>
        <w:t>..............................................................................................................................</w:t>
      </w:r>
    </w:p>
    <w:p>
      <w:r>
        <w:t>IV - posição contábil individual de cada uma das entidades elencadas no art. 2º, inciso II, alíneas de "c" a "f", da Resolução CMN nº 4.950, de 2021, e no art. 2º, inciso II, alíneas de "c" a "f", da Resolução BCB nº 168, de 2021, das administradoras de consórcios e das instituições de pagamento autorizadas pelo Banco Central do Brasil;</w:t>
      </w:r>
    </w:p>
    <w:p>
      <w:r>
        <w:t>V - posição contábil do conglomerado prudencial contemplando, além dos saldos consolidados, os saldos aglutinados e os respectivos ajustes e eliminações contábeis relativos às posições previstas nos incisos III e IV do caput; e</w:t>
      </w:r>
    </w:p>
    <w:p>
      <w:r>
        <w:t>VI - posição contábil do subconglomerado prudencial, de que tratam os arts. 13-A e 13-B da Resolução CMN nº 4.950, de 2021, e os arts. 14-A e 14-B da Resolução BCB nº 168, de 2021.</w:t>
      </w:r>
    </w:p>
    <w:p>
      <w:r>
        <w:t>...............................................................................................................................</w:t>
      </w:r>
    </w:p>
    <w:p>
      <w:r>
        <w:t>§ 3º As informações relativas à posição contábil de que trata o inciso VI devem ser prestadas pelos conglomerados que apurem em bases subconsolidadas, nos termos da regulamentação prudencial vigente." (NR)</w:t>
      </w:r>
    </w:p>
    <w:p>
      <w:r>
        <w:t>Art. 2º Passam a vigorar, a partir da data-base de julho de 2026, a nova versão do leiaute e instruções de preenchimento dos documentos de códigos 4060 - Balancete Patrimonial Analítico - Conglomerado Prudencial e 4066 - Balanço Patrimonial Analítico - Conglomerado Prudencial, disponível na página do Banco Central do Brasil na internet, no endereço eletrônico https://www.bcb.gov.br/estabilidadefinanceira/leiautedocumentoscrd, com a inclusão do bloco de dados 8 - Subconglomerado prudencial.</w:t>
      </w:r>
    </w:p>
    <w:p>
      <w:r>
        <w:t>Art. 3º Esta Instrução Normativa entra em vigor na data da sua publicação.</w:t>
      </w:r>
    </w:p>
    <w:p>
      <w:r>
        <w:t>ANDRÉ MAURÍCIO TRINDADE DA ROCHA</w:t>
      </w:r>
    </w:p>
    <w:p>
      <w:r>
        <w:br w:type="page"/>
      </w:r>
    </w:p>
    <w:p>
      <w:pPr>
        <w:pStyle w:val="Heading2"/>
      </w:pPr>
      <w:r>
        <w:t>INSTRUÇÃO NORMATIVA BCB Nº 754, DE 1º de JULHO DE 2026</w:t>
      </w:r>
    </w:p>
    <w:p>
      <w:pPr>
        <w:pStyle w:val="ListBullet"/>
      </w:pPr>
      <w:r>
        <w:t>Ementa: Altera a Instrução Normativa BCB nº 330, de 24 de novembro de 2022, que consolida os procedimentos para o registro de informações cadastrais no Sistema de Informações sobre Entidades de Interesse do Banco Central - Unicad, de que trata a Resolução BCB nº 209, de 22 de março de 2022.</w:t>
      </w:r>
    </w:p>
    <w:p>
      <w:r>
        <w:t>Categoria: Banco Central do Brasil/Área de Fiscalização/Departamento de Monitoramento do Sistema Financeiro</w:t>
      </w:r>
    </w:p>
    <w:p>
      <w:r>
        <w:t>Página: 112</w:t>
      </w:r>
    </w:p>
    <w:p/>
    <w:p>
      <w:r>
        <w:t>INSTRUÇÃO NORMATIVA BCB Nº 754, DE 1º de JULHO DE 2026</w:t>
      </w:r>
    </w:p>
    <w:p>
      <w:r>
        <w:t>Altera a Instrução Normativa BCB nº 330, de 24 de novembro de 2022, que consolida os procedimentos para o registro de informações cadastrais no Sistema de Informações sobre Entidades de Interesse do Banco Central - Unicad, de que trata a Resolução BCB nº 209, de 22 de março de 2022.</w:t>
      </w:r>
    </w:p>
    <w:p>
      <w:r>
        <w:t>O Chefe do Departamento de Monitoramento do Sistema Financeiro - Desig, no uso da atribuição que lhe confere o art. 23, inciso I, alínea "a", do Regimento Interno do Banco Central do Brasil, divulgado por meio da Resolução BCB nº 340, de 21 de setembro de 2023, com base no art. 85, inciso I, alínea "b", do referido Regimento, tendo em vista o disposto na Resolução Conjunta nº 16, de 28 de novembro de 2025, na Resolução CMN nº 4.557, de 23 de fevereiro de 2017, e nas Resoluções BCB ns. 209, de 22 de março de 2022, 265, de 25 de novembro de 2022, e 517, de 3 de novembro de 2025, resolve:</w:t>
      </w:r>
    </w:p>
    <w:p>
      <w:r>
        <w:t>Art. 1º A Instrução Normativa BCB nº 330, de 24 de novembro de 2022, publicada no Diário Oficial da União, de 25 de novembro de 2022, na Seção 1, p. 223, passa a vigorar com as seguintes alterações:</w:t>
      </w:r>
    </w:p>
    <w:p>
      <w:r>
        <w:t>"Seção XI</w:t>
      </w:r>
    </w:p>
    <w:p>
      <w:r>
        <w:t>Da comunicação de atividades para cálculo de capital mínimo</w:t>
      </w:r>
    </w:p>
    <w:p>
      <w:r>
        <w:t>Art. 10-F. Para fins de cumprimento do disposto no art. 5º da Resolução BCB nº 517, de 3 de novembro de 2025, as instituições já autorizadas a funcionar pelo Banco Central do Brasil devem registrar no Unicad, no módulo "Operações", opção "Inclusão", as categorias de atividades operacionais que pretendam realizar e a intenção de prestar os serviços previstos no art. 4º da referida Resolução, com antecedência de noventa dias em relação à data prevista para o início das novas atividades.</w:t>
      </w:r>
    </w:p>
    <w:p>
      <w:r>
        <w:t>Parágrafo único. O disposto no caput não se aplica:</w:t>
      </w:r>
    </w:p>
    <w:p>
      <w:r>
        <w:t>I - às atividades que, nos termos da regulamentação específica, demandem autorização específica ou estejam sujeitas a processo de comunicação específico; e</w:t>
      </w:r>
    </w:p>
    <w:p>
      <w:r>
        <w:t>II - às instituições em processo de autorização, que devem observar a regulamentação específica.</w:t>
      </w:r>
    </w:p>
    <w:p>
      <w:r>
        <w:t>Seção XII</w:t>
      </w:r>
    </w:p>
    <w:p>
      <w:r>
        <w:t>Do registro das tomadoras de serviços de Banking as a Service - BaaS</w:t>
      </w:r>
    </w:p>
    <w:p>
      <w:r>
        <w:t>Art. 10-G. Para fins de cumprimento do disposto no art. 20, inciso I, da Resolução Conjunta nº 16, de 28 de novembro de 2025, as instituições prestadoras de serviços de Banking as a Service - BaaS devem registrar e manter atualizadas no Unicad, no módulo "Vínculos", opção "Inclusão", as informações referentes às entidades tomadoras de serviços de BaaS com contratos vigentes.</w:t>
      </w:r>
    </w:p>
    <w:p>
      <w:r>
        <w:t>Parágrafo único. O registro de que trata o caput deve conter as informações necessárias à identificação das entidades tomadoras de serviços de BaaS, observados os campos e as regras de validação disponíveis no Unicad.</w:t>
      </w:r>
    </w:p>
    <w:p>
      <w:r>
        <w:t>Seção XIII</w:t>
      </w:r>
    </w:p>
    <w:p>
      <w:r>
        <w:t>Do registro da transferência de liquidez no conglomerado prudencial</w:t>
      </w:r>
    </w:p>
    <w:p>
      <w:r>
        <w:t>Art. 10-H. Para fins de cumprimento do disposto no art. 38, inciso I, alínea "e", da Resolução CMN nº 4.557, de 23 de fevereiro de 2017, e no art. 40, inciso I, alínea "e", da Resolução BCB nº 265, de 25 de novembro de 2022, deve ser registrada e mantida atualizada no Unicad, no módulo "Conglomerados", opção "Consulta/Alteração", a informação sobre a possibilidade de cada participante do conglomerado prudencial realizar transferências de liquidez com as demais instituições integrantes do conglomerado, em situações normais ou de estresse." (NR)</w:t>
      </w:r>
    </w:p>
    <w:p>
      <w:r>
        <w:t>Art. 2º Para fins da implantação dos procedimentos previstos na Seção XI da Instrução Normativa BCB nº 330, de 2022, serão inicialmente registradas, no Unicad, para as instituições em funcionamento em 30 de junho de 2026, todas as categorias de atividades operacionais e todos os serviços previstos no art. 4º da Resolução BCB nº 517, de 3 de novembro de 2025.</w:t>
      </w:r>
    </w:p>
    <w:p>
      <w:r>
        <w:t>Parágrafo único. As instituições de que trata o caput devem acessar o Unicad e encerrar as categorias de atividades operacionais e os serviços que não realizem, nem pretendam realizar no prazo mencionado no art. 10-F.</w:t>
      </w:r>
    </w:p>
    <w:p>
      <w:r>
        <w:t>Art. 3º Esta Instrução Normativa entra em vigor:</w:t>
      </w:r>
    </w:p>
    <w:p>
      <w:r>
        <w:t>I - na data de sua publicação, em relação ao art. 2º e à inclusão do art. 10-F;</w:t>
      </w:r>
    </w:p>
    <w:p>
      <w:r>
        <w:t>II - em 1º de setembro de 2026, em relação à inclusão do art. 10-G; e</w:t>
      </w:r>
    </w:p>
    <w:p>
      <w:r>
        <w:t>III - em 1º de outubro de 2026, em relação à inclusão do art. 10-H.</w:t>
      </w:r>
    </w:p>
    <w:p>
      <w:r>
        <w:t>ANDRÉ MAURÍCIO TRINDADE DA ROCHA</w:t>
      </w:r>
    </w:p>
    <w:p>
      <w:r>
        <w:br w:type="page"/>
      </w:r>
    </w:p>
    <w:p>
      <w:pPr>
        <w:pStyle w:val="Heading2"/>
      </w:pPr>
      <w:r>
        <w:t>INSTRUÇÃO NORMATIVA BCB Nº 755, DE 1º de JULHO DE 2026</w:t>
      </w:r>
    </w:p>
    <w:p>
      <w:pPr>
        <w:pStyle w:val="ListBullet"/>
      </w:pPr>
      <w:r>
        <w:t>Ementa: Altera a Instrução Normativa BCB n° 399, de 29 de junho de 2023, que consolida os procedimentos para remessa de informações sobre o controle da exposição ao risco de liquidez e sobre o indicador Liquidez de Curto Prazo - LCR, de que trata a Resolução BCB nº 207, de 22 de março de 2022, e altera as Instruções de preenchimento e o leiaute do documento de código 2160 - Demonstrativo de Risco de Liquidez - DRL, de que trata a Instrução Normativa BCB n° 399, de 29 de junho de 2023.</w:t>
      </w:r>
    </w:p>
    <w:p>
      <w:r>
        <w:t>Categoria: Banco Central do Brasil/Área de Fiscalização/Departamento de Monitoramento do Sistema Financeiro</w:t>
      </w:r>
    </w:p>
    <w:p>
      <w:r>
        <w:t>Página: 112</w:t>
      </w:r>
    </w:p>
    <w:p/>
    <w:p>
      <w:r>
        <w:t>INSTRUÇÃO NORMATIVA BCB Nº 755, DE 1º de JULHO DE 2026</w:t>
      </w:r>
    </w:p>
    <w:p>
      <w:r>
        <w:t>Altera a Instrução Normativa BCB n° 399, de 29 de junho de 2023, que consolida os procedimentos para remessa de informações sobre o controle da exposição ao risco de liquidez e sobre o indicador Liquidez de Curto Prazo - LCR, de que trata a Resolução BCB nº 207, de 22 de março de 2022, e altera as Instruções de preenchimento e o leiaute do documento de código 2160 - Demonstrativo de Risco de Liquidez - DRL, de que trata a Instrução Normativa BCB n° 399, de 29 de junho de 2023.</w:t>
      </w:r>
    </w:p>
    <w:p>
      <w:r>
        <w:t>O Chefe do Departamento de Monitoramento do Sistema Financeiro - Desig, no uso da atribuição que lhe confere o art. 23, inciso I, alínea "a", do Regimento Interno do Banco Central do Brasil, anexo à Resolução BCB nº 340, de 21 de setembro de 2023, com base no art. 85, inciso I, alínea "b" do referido Regimento, tendo em vista o disposto nas Resoluções BCB ns. 207, de 22 de março de 2022, 436, de 28 de novembro de 2024, e 577, de 23 de junho de 2026, resolve:</w:t>
      </w:r>
    </w:p>
    <w:p>
      <w:r>
        <w:t>Art. 1º A Instrução Normativa BCB nº 399, de 29 de junho de 2023, publicada no Diário Oficial da União - DOU em 30 de junho de 2023, e retificada no DOU em 21 de julho de 2023, passa a vigorar com as seguintes alterações:</w:t>
      </w:r>
    </w:p>
    <w:p>
      <w:r>
        <w:t>"Art. 1º .................................................................................................................</w:t>
      </w:r>
    </w:p>
    <w:p>
      <w:r>
        <w:t>...............................................................................................................................</w:t>
      </w:r>
    </w:p>
    <w:p>
      <w:r>
        <w:t>III - a todos os conglomerados prudenciais enquadrados no S1, S2, S3 ou S4, conforme estabelecido na Resolução CMN nº 4.553, de 30 de janeiro de 2017, e na Resolução BCB nº 436, de 28 de novembro de 2024.</w:t>
      </w:r>
    </w:p>
    <w:p>
      <w:r>
        <w:t>................................................................................................................."(NR)</w:t>
      </w:r>
    </w:p>
    <w:p>
      <w:r>
        <w:t>"Art. 4º ...............................................................................................................</w:t>
      </w:r>
    </w:p>
    <w:p>
      <w:r>
        <w:t>..............................................................................................................................</w:t>
      </w:r>
    </w:p>
    <w:p>
      <w:r>
        <w:t>III - pela líder do conglomerado prudencial, para as instituições integrantes de conglomerado prudencial:</w:t>
      </w:r>
    </w:p>
    <w:p>
      <w:r>
        <w:t>a) em base consolidada, nos termos da consolidação adotada para a apuração do Patrimônio de Referência, para as instituições enquadradas nos segmentos S1, S2, S3 e S4; e</w:t>
      </w:r>
    </w:p>
    <w:p>
      <w:r>
        <w:t>b) em base subconsolidada, no âmbito do subconglomerado prudencial, definido no art. 13-A da Resolução CMN nº 4.950, de 2021, para as instituições enquadradas no S1." (NR)</w:t>
      </w:r>
    </w:p>
    <w:p>
      <w:r>
        <w:t>"Art. 5º ................................................................................................................</w:t>
      </w:r>
    </w:p>
    <w:p>
      <w:r>
        <w:t>Parágrafo único. Para as instituições integrantes de conglomerado prudencial, as informações de que trata o caput devem ser elaboradas:</w:t>
      </w:r>
    </w:p>
    <w:p>
      <w:r>
        <w:t>I - em base consolidada, nos termos da consolidação adotada para a apuração do Patrimônio de Referência; e</w:t>
      </w:r>
    </w:p>
    <w:p>
      <w:r>
        <w:t>II - em base subconsolidada, no âmbito do subconglomerado prudencial, definido no art. 13-A da Resolução CMN nº 4.950, de 2021."(NR)</w:t>
      </w:r>
    </w:p>
    <w:p>
      <w:r>
        <w:t>"Art. 6º ...............................................................................................................</w:t>
      </w:r>
    </w:p>
    <w:p>
      <w:r>
        <w:t>..............................................................................................................................</w:t>
      </w:r>
    </w:p>
    <w:p>
      <w:r>
        <w:t>I - pela instituição líder de cada conglomerado prudencial, em base consolidada, em relação às informações das instituições integrantes do conglomerado;</w:t>
      </w:r>
    </w:p>
    <w:p>
      <w:r>
        <w:t>II - pelos bancos cooperativos, pelas confederações de crédito, pelas confederações de serviço constituídas por cooperativas centrais de crédito ou pelas cooperativas centrais de crédito, em relação às informações da totalidade das cooperativas integrantes de sistemas organizados de três ou dois níveis, em base individual;</w:t>
      </w:r>
    </w:p>
    <w:p>
      <w:r>
        <w:t>III - pelas instituições financeiras e demais instituições autorizadas a funcionar pelo Banco Central do Brasil não pertencentes a conglomerado prudencial e pelas cooperativas não integrantes de sistema organizado de três ou dois níveis; e</w:t>
      </w:r>
    </w:p>
    <w:p>
      <w:r>
        <w:t>IV - pela instituição líder de cada conglomerado prudencial, em base subconsolidada, em relação às informações das instituições integrantes do subconglomerado, para as instituições enquadradas no S1.</w:t>
      </w:r>
    </w:p>
    <w:p>
      <w:r>
        <w:t>..................................................................................................................." (NR)</w:t>
      </w:r>
    </w:p>
    <w:p>
      <w:r>
        <w:t>Art. 2º Estão disponíveis na página do Banco Central do Brasil na internet, no endereço eletrônico https://www.bcb.gov.br/estabilidadefinanceira/leiautedocumentoscrd, as novas versões das Instruções de Preenchimento e do Leiaute do documento de código 2160 - Demonstrativo de Risco de Liquidez - DRL, modelo I, válidas a partir da data-base de julho de 2026.</w:t>
      </w:r>
    </w:p>
    <w:p>
      <w:r>
        <w:t>Art. 3º Foram feitas as seguintes modificações:</w:t>
      </w:r>
    </w:p>
    <w:p>
      <w:r>
        <w:t>I - nas Instruções de preenchimento: em "Estoque De Ativos Líquidos, Saídas e Entradas de Caixa" - inclusão do subitem 5.1;</w:t>
      </w:r>
    </w:p>
    <w:p>
      <w:r>
        <w:t>II - no Leiaute: no "Anexo 4 - Código do elemento" - inclusão de orientação quanto ao Domínio 81.</w:t>
      </w:r>
    </w:p>
    <w:p>
      <w:r>
        <w:t>Art. 4º Fica admitido o envio em caráter de homologação das informações elaboradas em base subconsolidada, para o subconglomerado prudencial, nos termos do art. 13-A da Resolução CMN nº 4.950, de 2021, podendo ser substituídas sem penalidade até 31 de dezembro de 2026, conforme disposto no art. 2º da Resolução BCB nº 577, de 23 de junho de 2026.</w:t>
      </w:r>
    </w:p>
    <w:p>
      <w:r>
        <w:t>Art. 5º Esta Instrução Normativa entra em vigor na data da sua publicação.</w:t>
      </w:r>
    </w:p>
    <w:p>
      <w:r>
        <w:t>ANDRÉ MAURÍCIO TRINDADE DA ROCHA</w:t>
      </w:r>
    </w:p>
    <w:p>
      <w:r>
        <w:br w:type="page"/>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