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2026-06-30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3</w:t>
      </w:r>
    </w:p>
    <w:p/>
    <w:p>
      <w:pPr>
        <w:pStyle w:val="Heading2"/>
      </w:pPr>
      <w:r>
        <w:t>PORTARIA CGAUT/SUSEP nº 80, de 28 de JUNHO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98</w:t>
      </w:r>
    </w:p>
    <w:p/>
    <w:p>
      <w:r>
        <w:t>PORTARIA CGAUT/SUSEP nº 80, de 28 de JUNHO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 base no artigo 4º da Resolução CNSP nº 453, de 19 de dezembro de 2022, combinado com o inciso V do artigo 5º da Resolução CNSP nº 422, de 11 de novembro de 2021, e o que consta do processo Susep nº 15414.626777/2026-51, resolve:</w:t>
      </w:r>
    </w:p>
    <w:p>
      <w:r>
        <w:t>Art. 1º Ficam homologadas a destituição e a eleição de administradores de ANDRINA SOCIEDADE SEGURADORA DE PROPÓSITO ESPECÍFICO S.A., CNPJ nº 53.022.609/0001-28, com sede na cidade de São Paulo - SP, conforme deliberado na assembleia geral extraordinária realizada em 30 de abril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RETIFICAÇÃO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98</w:t>
      </w:r>
    </w:p>
    <w:p/>
    <w:p>
      <w:r>
        <w:t>RETIFICAÇÃO</w:t>
      </w:r>
    </w:p>
    <w:p>
      <w:r>
        <w:t>Na publicação da PORTARIA CGAUT/SUSEP nº 53, DE 20 DE MAIO DE 2026, publicada no DOU de 21 de maio de 2026, Seção 1, página 69, onde se lê: "... na assembleia geral extraordinária realizada em 30 de dezembro de 2026", leia-se: "... na assembleia geral extraordinária realizada em 30 de dezembro de 2025"; e onde se lê: "... dividido em 82.355.399 ações ordinárias", leia-se: "... dividido em 82.355.339 ações ordinárias".</w:t>
      </w:r>
    </w:p>
    <w:p>
      <w:r>
        <w:br w:type="page"/>
      </w:r>
    </w:p>
    <w:p>
      <w:pPr>
        <w:pStyle w:val="Heading2"/>
      </w:pPr>
      <w:r>
        <w:t>PORTARIA CGAUT/SUSEP nº 81, de 29 de JUNHO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98</w:t>
      </w:r>
    </w:p>
    <w:p/>
    <w:p>
      <w:r>
        <w:t>PORTARIA CGAUT/SUSEP nº 81, de 29 de JUNHO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15414.609630/2026-05, resolve:</w:t>
      </w:r>
    </w:p>
    <w:p>
      <w:r>
        <w:t>Art. 1º Fica homologada a eleição de administrador de ASPECIR PREVIDÊNCIA, CNPJ nº 92.843.531/0001-64, com sede na cidade de Porto Alegre - RS, conforme deliberado na reunião do Conselho Controlador realizada em 4 de fevereiro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