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2026-06-25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5</w:t>
      </w:r>
    </w:p>
    <w:p/>
    <w:p>
      <w:pPr>
        <w:pStyle w:val="Heading2"/>
      </w:pPr>
      <w:r>
        <w:t>RESOLUÇÃO BCB Nº 576, DE 23 DE JUNHO DE 2026</w:t>
      </w:r>
    </w:p>
    <w:p>
      <w:pPr>
        <w:pStyle w:val="ListBullet"/>
      </w:pPr>
      <w:r>
        <w:t>Ementa: Dispõe sobre a política de sucessão de administradores das administradoras de consórcio, das sociedades corretoras de títulos e valores mobiliários, das sociedades distribuidoras de títulos e valores mobiliários, das sociedades corretoras de câmbio, das sociedades prestadoras de serviços de ativos virtuais e das instituições de pagamento.</w:t>
      </w:r>
    </w:p>
    <w:p>
      <w:r>
        <w:t>Categoria: Banco Central do Brasil/Área de Regulação</w:t>
      </w:r>
    </w:p>
    <w:p>
      <w:r>
        <w:t>Página: 214</w:t>
      </w:r>
    </w:p>
    <w:p/>
    <w:p>
      <w:r>
        <w:t>RESOLUÇÃO BCB Nº 576, DE 23 DE JUNHO DE 2026</w:t>
      </w:r>
    </w:p>
    <w:p>
      <w:r>
        <w:t>Dispõe sobre a política de sucessão de administradores das administradoras de consórcio, das sociedades corretoras de títulos e valores mobiliários, das sociedades distribuidoras de títulos e valores mobiliários, das sociedades corretoras de câmbio, das sociedades prestadoras de serviços de ativos virtuais e das instituições de pagamento.</w:t>
      </w:r>
    </w:p>
    <w:p>
      <w:r>
        <w:t>A Diretoria Colegiada do Banco Central do Brasil, em sessão realizada em 23 de junho de 2026, com base nos arts. 9º-A da Lei nº 4.728, de 14 de julho de 1965, 6º e 7º, caput, inciso III, da Lei nº 11.795, de 8 de outubro de 2008, 9º, caput, inciso II, e 15 da Lei nº 12.865, de 9 de outubro de 2013, 4º, 6º e 7º, caput, inciso II, da Lei nº 14.478, de 21 de dezembro de 2022, e 1º e 2º do Decreto nº 11.563, de 13 de junho de 2023, resolve:</w:t>
      </w:r>
    </w:p>
    <w:p>
      <w:r>
        <w:t>Art. 1º As administradoras de consórcio, as sociedades corretoras de títulos e valores mobiliários, as sociedades distribuidoras de títulos e valores mobiliários, as sociedades corretoras de câmbio, as sociedades prestadoras de serviços de ativos virtuais e as instituições de pagamento devem implementar e manter política de sucessão de administradores aplicável aos cargos da alta administração da instituição.</w:t>
      </w:r>
    </w:p>
    <w:p>
      <w:r>
        <w:t>Parágrafo único. O disposto nesta Resolução não se aplica às instituições mencionadas no caput em regime de liquidação extrajudicial.</w:t>
      </w:r>
    </w:p>
    <w:p>
      <w:r>
        <w:t>Art. 2º A política de sucessão de administradores deve ser compatível com a natureza, o porte, a complexidade, a estrutura, o perfil de risco e o modelo de negócio da instituição, de forma a assegurar que os ocupantes dos cargos da alta administração tenham as competências necessárias para o desempenho de suas funções.</w:t>
      </w:r>
    </w:p>
    <w:p>
      <w:r>
        <w:t>Parágrafo único. A instituição deve indicar expressamente em sua política de sucessão de administradores os cargos aos quais essa política se aplica.</w:t>
      </w:r>
    </w:p>
    <w:p>
      <w:r>
        <w:t>Art. 3º A política de sucessão de administradores deve abranger processos de recrutamento, de promoção, de eleição e de retenção de administradores, formalizados com base em regras que disciplinem a identificação, a avaliação, o treinamento e a seleção dos candidatos aos cargos da alta administração, considerando, no mínimo, os seguintes aspectos:</w:t>
      </w:r>
    </w:p>
    <w:p>
      <w:r>
        <w:t>I - condições para o exercício do cargo exigidas pela legislação e pela regulamentação em vigor;</w:t>
      </w:r>
    </w:p>
    <w:p>
      <w:r>
        <w:t>II - capacidade técnica;</w:t>
      </w:r>
    </w:p>
    <w:p>
      <w:r>
        <w:t>III - capacidade gerencial;</w:t>
      </w:r>
    </w:p>
    <w:p>
      <w:r>
        <w:t>IV - habilidades interpessoais;</w:t>
      </w:r>
    </w:p>
    <w:p>
      <w:r>
        <w:t>V - conhecimento da legislação e da regulamentação relativas à responsabilização de qualquer natureza por sua atuação; e</w:t>
      </w:r>
    </w:p>
    <w:p>
      <w:r>
        <w:t>VI - experiência.</w:t>
      </w:r>
    </w:p>
    <w:p>
      <w:r>
        <w:t>Art. 4º O conselho de administração deve aprovar, supervisionar e controlar os processos relativos ao planejamento, à operacionalização, à manutenção e à revisão da política de sucessão de administradores.</w:t>
      </w:r>
    </w:p>
    <w:p>
      <w:r>
        <w:t>Parágrafo único. No caso de inexistência do conselho de administração, as atribuições mencionadas no caput devem ser de responsabilidade da diretoria da instituição.</w:t>
      </w:r>
    </w:p>
    <w:p>
      <w:r>
        <w:t>Art. 5º A política de sucessão de administradores deve ser objeto de revisão, no mínimo, a cada cinco anos ou sempre que ocorrerem eventos relevantes que impactem a estrutura de governança, o modelo de negócio ou o perfil de risco da instituição.</w:t>
      </w:r>
    </w:p>
    <w:p>
      <w:r>
        <w:t>Art. 6º As instituições mencionadas no art. 1º devem manter a documentação relativa à política de sucessão de administradores à disposição do Banco Central do Brasil durante toda a sua vigência e, no caso de alteração ou de substituição, pelo prazo mínimo de cinco anos contados do fim da vigência da versão anterior.</w:t>
      </w:r>
    </w:p>
    <w:p>
      <w:r>
        <w:t>Art. 7º Esta Resolução entra em vigor em 1º de janeiro de 2027.</w:t>
      </w:r>
    </w:p>
    <w:p>
      <w:r>
        <w:t>GILNEU FRANCISCO ASTOLFI VIVAN</w:t>
      </w:r>
    </w:p>
    <w:p>
      <w:r>
        <w:t>Diretor de Regulação</w:t>
      </w:r>
    </w:p>
    <w:p>
      <w:r>
        <w:br w:type="page"/>
      </w:r>
    </w:p>
    <w:p>
      <w:pPr>
        <w:pStyle w:val="Heading2"/>
      </w:pPr>
      <w:r>
        <w:t>PORTARIA CGAUT/SUSEP nº 75, de 24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95</w:t>
      </w:r>
    </w:p>
    <w:p/>
    <w:p>
      <w:r>
        <w:t>PORTARIA CGAUT/SUSEP nº 75, de 24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15414.616441/2026-81, resolve:</w:t>
      </w:r>
    </w:p>
    <w:p>
      <w:r>
        <w:t>Art. 1º Fica homologada a eleição de administrador de XS3 SEGUROS S.A., CNPJ nº 38.155.802/0001-43, com sede na cidade de São Paulo - SP, conforme deliberado na reunião do conselho de administração realizada em 16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76, de 24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95</w:t>
      </w:r>
    </w:p>
    <w:p/>
    <w:p>
      <w:r>
        <w:t>PORTARIA CGAUT/SUSEP nº 76, de 24 de JUNHO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artigo I do artigo 36 do Decreto-Lei nº 73, de 21 de novembro de 1966, combinado com o parágrafo 2º do artigo 3º do Decreto-Lei nº 261, de 28 de fevereiro de 1967, com base nos incisos I e V do artigo 5º da Resolução CNSP nº 422, de 11 de novembro de 2021, e o que consta dos processos Susep nº 15414.616079/2026-48 e 15414.616082/2026-61, resolve:</w:t>
      </w:r>
    </w:p>
    <w:p>
      <w:r>
        <w:t>Art. 1º Ficam homologadas as seguintes deliberações tomadas pelo acionista único de CNP CAPITALIZAÇÃO S.A., CNPJ nº 01.599.296/0001-71, com sede na cidade de Brasília - DF, na assembleia geral extraordinária realizada em 19 de fevereiro de 2026:</w:t>
      </w:r>
    </w:p>
    <w:p>
      <w:r>
        <w:t>I - destituição de administradores;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INSTRUÇÃO NORMATIVA Nº 751, DE 24 DE JUNHO DE 2026</w:t>
      </w:r>
    </w:p>
    <w:p>
      <w:pPr>
        <w:pStyle w:val="ListBullet"/>
      </w:pPr>
      <w:r>
        <w:t>Ementa: Divulga as rubricas contábeis do Padrão Contábil das Instituições Reguladas pelo Banco Central do Brasil - Cosif, utilizadas como base de cálculo das contribuições ordinárias, especiais e adicionais das instituições associadas ao Fundo Garantidor de Créditos - FGC e do montante a ser alocado em títulos públicos federais - MATPF.</w:t>
      </w:r>
    </w:p>
    <w:p>
      <w:r>
        <w:t>Categoria: Banco Central do Brasil/Área de Organização do Sistema Financeiro e de Resolução/Departamento de Resolução e de Ação Sancionadora</w:t>
      </w:r>
    </w:p>
    <w:p>
      <w:r>
        <w:t>Página: 214</w:t>
      </w:r>
    </w:p>
    <w:p/>
    <w:p>
      <w:r>
        <w:t>INSTRUÇÃO NORMATIVA Nº 751, DE 24 DE JUNHO DE 2026</w:t>
      </w:r>
    </w:p>
    <w:p>
      <w:r>
        <w:t>Divulga as rubricas contábeis do Padrão Contábil das Instituições Reguladas pelo Banco Central do Brasil - Cosif, utilizadas como base de cálculo das contribuições ordinárias, especiais e adicionais das instituições associadas ao Fundo Garantidor de Créditos - FGC e do montante a ser alocado em títulos públicos federais - MATPF.</w:t>
      </w:r>
    </w:p>
    <w:p>
      <w:r>
        <w:t>Os Chefes do Departamento de Monitoramento do Sistema Financeiro - Desig e do Departamento de Resolução e de Ação Sancionadora - Derad, no uso da atribuição que lhes confere o art. 23, inciso I, alínea "a", do Regimento Interno do Banco Central do Brasil, anexo à Resolução BCB nº 340, de 21 de setembro de 2023, com base nos arts. 85, inciso I, alínea "a", e 100, inciso III, alínea "b", respectivamente, e tendo em vista o disposto no art. 6º, §1º, inciso I, da Resolução CMN nº 4.222, de 23 de maio de 2013, e no art. 14 da Resolução BCB nº 102, de 7 de junho de 2021, resolvem:</w:t>
      </w:r>
    </w:p>
    <w:p>
      <w:r>
        <w:t>Art. 1º Divulgar as rubricas contábeis do Padrão Contábil das Instituições Reguladas pelo Banco Central do Brasil - Cosif, utilizadas como base de cálculo das contribuições ordinárias, especiais e adicionais das instituições associadas ao Fundo Garantidor de Créditos - FGC e do montante a ser alocado em títulos públicos federais - MATPF, de que tratam a Resolução CMN nº 4.222, de 23 de maio de 2013, e a Resolução BCB nº 102, de 7 de junho de 2021, relacionadas nos anexos a esta Instrução Normativa.</w:t>
      </w:r>
    </w:p>
    <w:p>
      <w:r>
        <w:t>Art. 2º Fica revogada a Instrução Normativa BCB nº 566, de 17 de dezembro de 2024, publicada no Diário Oficial da União de 18 de dezembro de 2024.</w:t>
      </w:r>
    </w:p>
    <w:p>
      <w:r>
        <w:t>Art. 3º Esta Instrução Normativa entra em vigor na data de sua publicação.</w:t>
      </w:r>
    </w:p>
    <w:p>
      <w:r>
        <w:t>ANDRÉ MAURÍCIO TRINDADE DA ROCHA</w:t>
      </w:r>
    </w:p>
    <w:p>
      <w:r>
        <w:t>Chefe do Departamento de Monitoramento do Sistema Financeiro</w:t>
      </w:r>
    </w:p>
    <w:p>
      <w:r>
        <w:t>CLIMERIO LEITE PEREIRA</w:t>
      </w:r>
    </w:p>
    <w:p>
      <w:r>
        <w:t>Chefe do Departamento de Monitoramento do Sistema Financeiro</w:t>
      </w:r>
    </w:p>
    <w:p>
      <w:r>
        <w:t>ANEXO I</w:t>
      </w:r>
    </w:p>
    <w:p>
      <w:r>
        <w:t>Rubricas contábeis do Padrão Contábil das Instituições Reguladas pelo Banco Central do Brasil - Cosif, utilizadas como base de cálculo das contribuições ordinárias ao Fundo Garantidor de Créditos - FGC.</w:t>
      </w:r>
    </w:p>
    <w:p>
      <w:r>
        <w:t>9.8.2.10.01.01-4 Depósitos à Vista ou Sacáveis Mediante Aviso Prévio</w:t>
      </w:r>
    </w:p>
    <w:p>
      <w:r>
        <w:t>9.8.2.10.01.02-1 Deposito de Poupança</w:t>
      </w:r>
    </w:p>
    <w:p>
      <w:r>
        <w:t>9.8.2.10.01.03-8 Depósito a Prazo</w:t>
      </w:r>
    </w:p>
    <w:p>
      <w:r>
        <w:t>9.8.2.10.01.04-5 Depósitos não Movimentáveis por Cheque</w:t>
      </w:r>
    </w:p>
    <w:p>
      <w:r>
        <w:t>9.8.2.10.01.05-2 Letras de Câmbio</w:t>
      </w:r>
    </w:p>
    <w:p>
      <w:r>
        <w:t>9.8.2.10.01.06-9 Letras Hipotecárias</w:t>
      </w:r>
    </w:p>
    <w:p>
      <w:r>
        <w:t>9.8.2.10.01.07-6 Letras de Crédito Imobiliário</w:t>
      </w:r>
    </w:p>
    <w:p>
      <w:r>
        <w:t>9.8.2.10.01.08-3 Letras de Crédito do Agronegócio</w:t>
      </w:r>
    </w:p>
    <w:p>
      <w:r>
        <w:t>9.8.2.10.01.09-0 Operações Compromissadas - Ligadas - após 8 de Março de 2012</w:t>
      </w:r>
    </w:p>
    <w:p>
      <w:r>
        <w:t>9.8.2.10.01.10-0 Letras de Crédito do Desenvolvimento</w:t>
      </w:r>
    </w:p>
    <w:p>
      <w:r>
        <w:t>ANEXO II</w:t>
      </w:r>
    </w:p>
    <w:p>
      <w:r>
        <w:t>Rubricas contábeis do Padrão Contábil das Instituições Reguladas pelo Banco Central do Brasil - Cosif, utilizadas como base de cálculo das contribuições especiais ao Fundo Garantidor de Créditos - FGC.</w:t>
      </w:r>
    </w:p>
    <w:p>
      <w:r>
        <w:t>9.8.2.10.02.01-3 Depósito a Prazo com Garantia Especial - com Alienação de Recebíveis</w:t>
      </w:r>
    </w:p>
    <w:p>
      <w:r>
        <w:t>ANEXO III</w:t>
      </w:r>
    </w:p>
    <w:p>
      <w:r>
        <w:t>Rubricas contábeis do Padrão Contábil das Instituições Reguladas pelo Banco Central do Brasil - Cosif, utilizadas como base de cálculo das Captações de Referência - CR para efeito do cálculo das contribuições adicionais ao Fundo Garantidor de Créditos - FGC e do montante a ser alocado em títulos públicos federais - MATPF.</w:t>
      </w:r>
    </w:p>
    <w:p>
      <w:r>
        <w:t>9.8.2.10.03.01-2 Captação Total</w:t>
      </w:r>
    </w:p>
    <w:p>
      <w:r>
        <w:t>9.8.2.10.03.02-9 (-) Captação de Entidades Ligadas</w:t>
      </w:r>
    </w:p>
    <w:p>
      <w:r>
        <w:t>9.8.2.10.03.03-6 (-) Captação de Instituições Financeiras</w:t>
      </w:r>
    </w:p>
    <w:p>
      <w:r>
        <w:t>ANEXO IV</w:t>
      </w:r>
    </w:p>
    <w:p>
      <w:r>
        <w:t>Rubricas contábeis do Padrão Contábil das Instituições Reguladas pelo Banco Central do Brasil - Cosif utilizadas como base de cálculo do Patrimônio Líquido Ajustado - PLA para efeito do cálculo das contribuições adicionais ao Fundo Garantidor de Créditos - FGC e do montante a ser alocado em títulos públicos federais - MATPF.</w:t>
      </w:r>
    </w:p>
    <w:p>
      <w:r>
        <w:t>PATRIMÔNIO LÍQUIDO AJUSTADO (PLA)</w:t>
      </w:r>
    </w:p>
    <w:p>
      <w:r>
        <w:t>a - Patrimônio líquido ajustado pelos saldos das contas de resultado credoras e devedoras</w:t>
      </w:r>
    </w:p>
    <w:p>
      <w:r>
        <w:t>6.0.0.00.00.00-4 Patrimônio Líquido</w:t>
      </w:r>
    </w:p>
    <w:p>
      <w:r>
        <w:t>7.0.0.00.00.00-3 Resultado Credor</w:t>
      </w:r>
    </w:p>
    <w:p>
      <w:r>
        <w:t>8.0.0.00.00.00-2 (-) Resultado Devedor</w:t>
      </w:r>
    </w:p>
    <w:p>
      <w:r>
        <w:t>b - Instrumentos de Dívida Elegíveis a Capital Complementar</w:t>
      </w:r>
    </w:p>
    <w:p>
      <w:r>
        <w:t>4.3.9.10.20.00-1 Complementar Autorizado</w:t>
      </w:r>
    </w:p>
    <w:p>
      <w:r>
        <w:t>4.3.9.99.10.20-9 Elegíveis a Capital Complementar</w:t>
      </w:r>
    </w:p>
    <w:p>
      <w:r>
        <w:t>c - Instrumentos de Dívida Elegíveis a Capital Nível 2</w:t>
      </w:r>
    </w:p>
    <w:p>
      <w:r>
        <w:t>4.3.9.10.30.30-7 Vencimento Superior a 5 Anos</w:t>
      </w:r>
    </w:p>
    <w:p>
      <w:r>
        <w:t>4.3.9.99.10.30-2 Elegíveis a Capital Nível II Autorizado - Vencimento Superior a 5 anos</w:t>
      </w:r>
    </w:p>
    <w:p>
      <w:r>
        <w:t>4.3.9.10.30.31-4 Vencimento Entre 4 e 5 Anos x (0,8)</w:t>
      </w:r>
    </w:p>
    <w:p>
      <w:r>
        <w:t>4.3.9.99.10.31-9 Elegíveis a Capital Nível II Autorizado - Vencimento Entre 4 e 5 Anos x (0,8)</w:t>
      </w:r>
    </w:p>
    <w:p>
      <w:r>
        <w:t>4.3.9.10.30.32-1 Vencimento Entre 3 e 4 Anos x (0,6)</w:t>
      </w:r>
    </w:p>
    <w:p>
      <w:r>
        <w:t>4.3.9.99.10.32-6 Elegíveis a Capital Nível II Autorizado - Vencimento Entre 3 e 4 Anos x (0,6)</w:t>
      </w:r>
    </w:p>
    <w:p>
      <w:r>
        <w:t>4.3.9.10.30.33-8 Vencimento Entre 2 e 3 Anos x (0,4)</w:t>
      </w:r>
    </w:p>
    <w:p>
      <w:r>
        <w:t>4.3.9.99.10.33-3 Elegíveis a Capital Nível II Autorizado - Vencimento Entre 2 e 3 Anos x (0,4)</w:t>
      </w:r>
    </w:p>
    <w:p>
      <w:r>
        <w:t>4.3.9.10.30.34-5 Vencimento Entre 1 e 2 Anos x (0,2)</w:t>
      </w:r>
    </w:p>
    <w:p>
      <w:r>
        <w:t>4.3.9.99.10.34-0 Elegíveis a Capital Nível II Autorizado - Vencimento Entre 1 e 2 Anos x (0,2)</w:t>
      </w:r>
    </w:p>
    <w:p>
      <w:r>
        <w:t>4.3.9.10.30.36-9 Fundos Constitucionais</w:t>
      </w:r>
    </w:p>
    <w:p>
      <w:r>
        <w:t>4.3.9.99.10.36-4 Elegíveis a Capital Nível II Autorizado - Fundos Constitucionais</w:t>
      </w:r>
    </w:p>
    <w:p>
      <w:r>
        <w:t>d - Participações no capital de instituições financeiras associadas ao FGC</w:t>
      </w:r>
    </w:p>
    <w:p>
      <w:r>
        <w:t>9.8.2.30.00.00-6 (-) Ajuste de Patrimônio Líquido Ajustado para Fins de MATPF</w:t>
      </w:r>
    </w:p>
    <w:p>
      <w:r>
        <w:t>ANEXO V</w:t>
      </w:r>
    </w:p>
    <w:p>
      <w:r>
        <w:t>Rubricas contábeis do Padrão Contábil das Instituições Reguladas pelo Banco Central do Brasil - Cosif utilizadas como base de cálculo do Valor de Referência - VR para efeito do cálculo das contribuições adicionais ao Fundo Garantidor de Créditos - FGC e do montante a ser alocado em títulos públicos federais - MATPF.</w:t>
      </w:r>
    </w:p>
    <w:p>
      <w:r>
        <w:t>9.8.2.25.00.00-2 VALOR DE REFERÊNCIA (VR)</w:t>
      </w:r>
    </w:p>
    <w:p>
      <w:r>
        <w:t>ANEXO VI</w:t>
      </w:r>
    </w:p>
    <w:p>
      <w:r>
        <w:t>Rubricas contábeis do Padrão Contábil das Instituições Reguladas pelo Banco Central do Brasil - Cosif utilizadas como base de cálculo do Ativo de Referência - AR para efeito do cálculo do montante a ser alocado em títulos públicos federais - MATPF.</w:t>
      </w:r>
    </w:p>
    <w:p>
      <w:r>
        <w:t>3.8.2.20.00.00-3 ATIVO DE REFERÊNCIA (AR)</w:t>
      </w:r>
    </w:p>
    <w:p>
      <w:r>
        <w:br w:type="page"/>
      </w:r>
    </w:p>
    <w:p>
      <w:pPr>
        <w:pStyle w:val="Heading2"/>
      </w:pPr>
      <w:r>
        <w:t>PORTARIA CGAUT/SUSEP nº 77, de 24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95</w:t>
      </w:r>
    </w:p>
    <w:p/>
    <w:p>
      <w:r>
        <w:t>PORTARIA CGAUT/SUSEP nº 77, de 24 de JUNHO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15414.612073/2026-00, resolve:</w:t>
      </w:r>
    </w:p>
    <w:p>
      <w:r>
        <w:t>Art. 1º Fica homologada a eleição de administrador de PIER SEGURADORA S.A., CNPJ nº 39.380.513/0001-00, com sede na cidade de São Paulo - SP, conforme deliberado na assembleia geral extraordinária realizada em 04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