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2026-06-15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</w:t>
      </w:r>
    </w:p>
    <w:p/>
    <w:p>
      <w:pPr>
        <w:pStyle w:val="Heading2"/>
      </w:pPr>
      <w:r>
        <w:t>INSTRUÇÃO NORMATIVA BCB Nº 744, DE 12 de JUNHO DE 2026</w:t>
      </w:r>
    </w:p>
    <w:p>
      <w:pPr>
        <w:pStyle w:val="ListBullet"/>
      </w:pPr>
      <w:r>
        <w:t>Ementa: Altera a Instrução Normativa BCB nº 33, de 29 de outubro de 2020, que estabelece os procedimentos para a remessa das informações de que trata a Circular nº 3.979, de 30 de janeiro de 2020, e altera as Instruções de Preenchimento e o leiaute do documento de código 5050 - Demonstrativo de Risco Operacional - DRO, de que trata a Instrução Normativa BCB nº 33, de 2020.</w:t>
      </w:r>
    </w:p>
    <w:p>
      <w:r>
        <w:t>Categoria: Banco Central do Brasil/Área de Fiscalização/Departamento de Monitoramento do Sistema Financeiro</w:t>
      </w:r>
    </w:p>
    <w:p>
      <w:r>
        <w:t>Página: 144</w:t>
      </w:r>
    </w:p>
    <w:p/>
    <w:p>
      <w:r>
        <w:t>INSTRUÇÃO NORMATIVA BCB Nº 744, DE 12 de JUNHO DE 2026</w:t>
      </w:r>
    </w:p>
    <w:p>
      <w:r>
        <w:t>Altera a Instrução Normativa BCB nº 33, de 29 de outubro de 2020, que estabelece os procedimentos para a remessa das informações de que trata a Circular nº 3.979, de 30 de janeiro de 2020, e altera as Instruções de Preenchimento e o leiaute do documento de código 5050 - Demonstrativo de Risco Operacional - DRO, de que trata a Instrução Normativa BCB nº 33, de 2020.</w:t>
      </w:r>
    </w:p>
    <w:p>
      <w:r>
        <w:t>O Chefe do Departamento de Monitoramento do Sistema Financeiro - Desig, substituto, o Chefe do Departamento de Supervisão Bancária - Desup, o Chefe de Departamento de Supervisão de Cooperativas e de Instituições Não Bancárias - Desuc, e o Chefe do Departamento de Gestão Estratégica e Supervisão Especializada - Degef, no uso da atribuição que lhes confere o art. 23, inciso I, alínea "a", do Regimento Interno do Banco Central do Brasil anexo à Resolução BCB nº 340, de 21 de setembro de 2023, com base nos arts. 85, inciso I, alínea "b", 88, inciso I, 91, inciso I, alínea "a", e 82, inciso V, alínea "a", respectivamente, e tendo em vista o disposto na Circular nº 3.979, de 30 de janeiro de 2020 e na Resolução BCB nº 556, de 1º de abril de 2026, resolvem:</w:t>
      </w:r>
    </w:p>
    <w:p>
      <w:r>
        <w:t>Art. 1º A Instrução Normativa BCB nº 33, de 29 de outubro de 2020, publicada no Diário Oficial da União em 4 de novembro de 2020, na Seção 1, p. 44/45, passa a vigorar com as seguintes alterações:</w:t>
      </w:r>
    </w:p>
    <w:p>
      <w:r>
        <w:t>"Art. 2º 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</w:t>
      </w:r>
    </w:p>
    <w:p>
      <w:r>
        <w:t>IV - a partir da data-base de junho de 2027, pelas instituições enquadradas no S3, nos termos da Resolução CMN nº 4.553, de 2017, e pelas instituições classificadas como Tipo 3 enquadradas no S3, nos termos da Resolução BCB nº 436, de 2024." (NR)</w:t>
      </w:r>
    </w:p>
    <w:p>
      <w:r>
        <w:t>"Art. 7º A solicitação de descarte de dados e a comunicação de correção de informações da base de dados de risco operacional de que tratam os art. 9º e 10 da Circular nº 3.979, de 2020, devem ser encaminhadas para a unidade do Banco Central do Brasil responsável pela supervisão da instituição solicitante.</w:t>
      </w:r>
    </w:p>
    <w:p>
      <w:r>
        <w:t>§ 1º A solicitação de descarte de que trata o caput deve ser analisada e decidida no prazo máximo de 90 dias.</w:t>
      </w:r>
    </w:p>
    <w:p>
      <w:r>
        <w:t>§ 2º No caso de não haver manifestação no prazo citado no § 1º, contado a partir da comprovação do recebimento do pleito, a solicitação será considerada aceita.</w:t>
      </w:r>
    </w:p>
    <w:p>
      <w:r>
        <w:t>§ 3º Para fins do disposto no art. 10, § 1º, inciso I, da Circular nº 3.979, de 2020, considera-se relevante a correção que, para uma mesma data-base:</w:t>
      </w:r>
    </w:p>
    <w:p>
      <w:r>
        <w:t>I - altere o valor bruto acumulado em montante igual ou superior a 5% do Componente de Perdas Operacionais (LC) apurado no período anterior;</w:t>
      </w:r>
    </w:p>
    <w:p>
      <w:r>
        <w:t>II - decorra de alteração de política ou sistema de classificação de eventos, para conjunto de eventos com valor bruto acumulado igual ou superior a 5% do LC apurado no período anterior; ou</w:t>
      </w:r>
    </w:p>
    <w:p>
      <w:r>
        <w:t>III - modifique o registro contábil de eventos com valor bruto acumulado igual ou superior a R$ 500.000 (quinhentos mil reais) quando tal modificação implicar mudança do período anual de apuração do LC." (NR)</w:t>
      </w:r>
    </w:p>
    <w:p>
      <w:r>
        <w:t>Art. 2º Estão disponíveis na página do Banco Central do Brasil na internet, no endereço eletrônico https://www.bcb.gov.br/estabilidadefinanceira/leiautedocumentoscrd,as novas versões das Instruções de Preenchimento e do Leiaute do documento de código 5050 - Demonstrativo de Risco Operacional - DRO.</w:t>
      </w:r>
    </w:p>
    <w:p>
      <w:r>
        <w:t>Art. 3º Foram feitas as seguintes modificações nas Instruções de preenchimento e no Leiaute, válidas a partir da data-base de junho de 2026:</w:t>
      </w:r>
    </w:p>
    <w:p>
      <w:r>
        <w:t>I - nos Capítulos "2.1 - Informações Gerais" e "2.2 - Abrangência Temporal do Documento": alteração da data de início da obrigatoriedade de encaminhamento das informações pelas entidades integrantes do Segmento 3 - S3;</w:t>
      </w:r>
    </w:p>
    <w:p>
      <w:r>
        <w:t>II - no Capítulo "8.1.2. Campos Informados no Cabeçalho": inclusão de orientação para Cooperativas no item "d) Código do Conglomerado (campo: codigoConglomerado)";</w:t>
      </w:r>
    </w:p>
    <w:p>
      <w:r>
        <w:t>III - no Capítulo "8.2.2. Campos dos Eventos Individualizados":</w:t>
      </w:r>
    </w:p>
    <w:p>
      <w:r>
        <w:t>a) exclusão do item "e) Unidade de Negócio (campo: unidadeNegocio)"e renumeração dos demais itens;</w:t>
      </w:r>
    </w:p>
    <w:p>
      <w:r>
        <w:t>b) exclusão da observação no item "j) Valor Total em Risco da Contingência (campo: valorTotalRisco)"; e</w:t>
      </w:r>
    </w:p>
    <w:p>
      <w:r>
        <w:t>c) inclusão de orientação no item "t) Detalhamento das Probabilidades de Perdas";</w:t>
      </w:r>
    </w:p>
    <w:p>
      <w:r>
        <w:t>III - no Capítulo "9. Leiaute xml do Documento 5050":</w:t>
      </w:r>
    </w:p>
    <w:p>
      <w:r>
        <w:t>a) exclusão do campo "unidadeNegocio"; e</w:t>
      </w:r>
    </w:p>
    <w:p>
      <w:r>
        <w:t>b) alteração do nome do campo "ligadoRiscoSocioAmbiental" para "ligadoRSAC";</w:t>
      </w:r>
    </w:p>
    <w:p>
      <w:r>
        <w:t>IV - exclusão do Capítulo "10.3. Anexo III - Unidades de Negócio" e renumeração dos itens seguintes.</w:t>
      </w:r>
    </w:p>
    <w:p>
      <w:r>
        <w:t>Art. 4º Fica revogado o art. 5º da Instrução Normativa BCB nº 33, de 2020.</w:t>
      </w:r>
    </w:p>
    <w:p>
      <w:r>
        <w:t>Art. 5º Esta Instrução Normativa BCB entra em vigor na data de sua publicação.</w:t>
      </w:r>
    </w:p>
    <w:p>
      <w:r>
        <w:t>ARISTIDES ANDRADE CAVALCANTE NETO</w:t>
      </w:r>
    </w:p>
    <w:p>
      <w:r>
        <w:t>Chefe do Departamento de Gestão Estratégicae Supervisão Especializada</w:t>
      </w:r>
    </w:p>
    <w:p>
      <w:r>
        <w:t>RICARDO SIVIERI ZENI</w:t>
      </w:r>
    </w:p>
    <w:p>
      <w:r>
        <w:t>Chefe do Departamento de Supervisão Bancária</w:t>
      </w:r>
    </w:p>
    <w:p>
      <w:r>
        <w:t>ADALBERTO FELINTO DA CRUZ JUNIOR</w:t>
      </w:r>
    </w:p>
    <w:p>
      <w:r>
        <w:t>Chefe do Departamento de Supervisão de Cooperativas e de Instituições Não Bancárias</w:t>
      </w:r>
    </w:p>
    <w:p>
      <w:r>
        <w:t>ANDRE LUIZ CACCAVO MIGUEL</w:t>
      </w:r>
    </w:p>
    <w:p>
      <w:r>
        <w:t>Chefe do Departamento de Monitoramento do Sistema Financeiro Substituto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